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83A" w:rsidRDefault="0072439D" w:rsidP="000C5DD2">
      <w:pPr>
        <w:pStyle w:val="PPVBody"/>
        <w:rPr>
          <w:b/>
          <w:i/>
          <w:color w:val="FFFFFF" w:themeColor="background1"/>
        </w:rPr>
      </w:pPr>
      <w:r>
        <w:rPr>
          <w:b/>
          <w:i/>
          <w:noProof/>
          <w:color w:val="FFFFFF" w:themeColor="background1"/>
        </w:rPr>
        <w:drawing>
          <wp:anchor distT="0" distB="0" distL="114300" distR="114300" simplePos="0" relativeHeight="251658240" behindDoc="1" locked="0" layoutInCell="1" allowOverlap="1" wp14:anchorId="7279706D" wp14:editId="7279706E">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DF2" w:rsidRPr="00EB6581" w:rsidRDefault="00630AE3" w:rsidP="00BE0A0B">
      <w:pPr>
        <w:pStyle w:val="AAAPanelName"/>
      </w:pPr>
      <w:r>
        <w:t>Fishermans Bend Planning Review Panel</w:t>
      </w:r>
    </w:p>
    <w:p w:rsidR="008A083A" w:rsidRDefault="00C1506B" w:rsidP="008B29A9">
      <w:pPr>
        <w:pStyle w:val="AACommonName"/>
        <w:jc w:val="left"/>
        <w:rPr>
          <w:sz w:val="40"/>
          <w:szCs w:val="40"/>
        </w:rPr>
      </w:pPr>
      <w:r>
        <w:rPr>
          <w:sz w:val="40"/>
          <w:szCs w:val="40"/>
        </w:rPr>
        <w:t>Sandridge</w:t>
      </w:r>
      <w:r w:rsidR="00630AE3">
        <w:rPr>
          <w:sz w:val="40"/>
          <w:szCs w:val="40"/>
        </w:rPr>
        <w:t xml:space="preserve"> Precinct</w:t>
      </w:r>
      <w:r w:rsidR="00581F65">
        <w:rPr>
          <w:sz w:val="40"/>
          <w:szCs w:val="40"/>
        </w:rPr>
        <w:t xml:space="preserve"> – Report No. 4</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95D03" w:rsidRDefault="00095D03" w:rsidP="000C5DD2">
      <w:pPr>
        <w:pStyle w:val="PPVBody"/>
      </w:pPr>
    </w:p>
    <w:p w:rsidR="00095D03" w:rsidRDefault="00095D03"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4B5700" w:rsidP="00BE0A0B">
      <w:pPr>
        <w:pStyle w:val="AADate"/>
        <w:rPr>
          <w:color w:val="auto"/>
          <w:sz w:val="28"/>
          <w:szCs w:val="28"/>
        </w:rPr>
      </w:pPr>
      <w:r>
        <w:rPr>
          <w:color w:val="auto"/>
          <w:sz w:val="28"/>
          <w:szCs w:val="28"/>
        </w:rPr>
        <w:t>19</w:t>
      </w:r>
      <w:r w:rsidR="00581F65">
        <w:rPr>
          <w:color w:val="auto"/>
          <w:sz w:val="28"/>
          <w:szCs w:val="28"/>
        </w:rPr>
        <w:t xml:space="preserve"> </w:t>
      </w:r>
      <w:r w:rsidR="00630AE3">
        <w:rPr>
          <w:color w:val="auto"/>
          <w:sz w:val="28"/>
          <w:szCs w:val="28"/>
        </w:rPr>
        <w:t>July</w:t>
      </w:r>
      <w:r w:rsidR="00903B9C">
        <w:rPr>
          <w:color w:val="auto"/>
          <w:sz w:val="28"/>
          <w:szCs w:val="28"/>
        </w:rPr>
        <w:t xml:space="preserve"> 20</w:t>
      </w:r>
      <w:r w:rsidR="00630AE3">
        <w:rPr>
          <w:color w:val="auto"/>
          <w:sz w:val="28"/>
          <w:szCs w:val="28"/>
        </w:rPr>
        <w:t>18</w:t>
      </w:r>
    </w:p>
    <w:p w:rsidR="005A7DF2" w:rsidRDefault="005A7DF2" w:rsidP="000C5DD2">
      <w:pPr>
        <w:pStyle w:val="PPVBody"/>
      </w:pP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C70AC5" w:rsidP="000C5DD2">
      <w:pPr>
        <w:pStyle w:val="PPVBody"/>
      </w:pPr>
      <w:r>
        <w:t>Report pursuant to section 151</w:t>
      </w:r>
      <w:r w:rsidR="00E765FC" w:rsidRPr="002A27E4">
        <w:t xml:space="preserve"> of the Act</w:t>
      </w:r>
    </w:p>
    <w:p w:rsidR="00E765FC" w:rsidRPr="002A27E4" w:rsidRDefault="009271C1" w:rsidP="000C5DD2">
      <w:pPr>
        <w:pStyle w:val="PPVBody"/>
      </w:pPr>
      <w:r>
        <w:rPr>
          <w:noProof/>
        </w:rPr>
        <w:fldChar w:fldCharType="begin"/>
      </w:r>
      <w:r>
        <w:rPr>
          <w:noProof/>
        </w:rPr>
        <w:instrText xml:space="preserve"> STYLEREF  "AAA Panel Name"  \* MERGEFORMAT </w:instrText>
      </w:r>
      <w:r>
        <w:rPr>
          <w:noProof/>
        </w:rPr>
        <w:fldChar w:fldCharType="separate"/>
      </w:r>
      <w:r w:rsidR="00AA0E65">
        <w:rPr>
          <w:noProof/>
        </w:rPr>
        <w:t>Fishermans Bend Planning Review Panel</w:t>
      </w:r>
      <w:r>
        <w:rPr>
          <w:noProof/>
        </w:rPr>
        <w:fldChar w:fldCharType="end"/>
      </w:r>
    </w:p>
    <w:p w:rsidR="00505E80" w:rsidRPr="002A27E4" w:rsidRDefault="009271C1" w:rsidP="000C5DD2">
      <w:pPr>
        <w:pStyle w:val="PPVBody"/>
      </w:pPr>
      <w:r>
        <w:rPr>
          <w:noProof/>
        </w:rPr>
        <w:fldChar w:fldCharType="begin"/>
      </w:r>
      <w:r>
        <w:rPr>
          <w:noProof/>
        </w:rPr>
        <w:instrText xml:space="preserve"> STYLEREF  "AA Common Name"  \* MERGEFORMAT </w:instrText>
      </w:r>
      <w:r>
        <w:rPr>
          <w:noProof/>
        </w:rPr>
        <w:fldChar w:fldCharType="separate"/>
      </w:r>
      <w:r w:rsidR="00AA0E65">
        <w:rPr>
          <w:noProof/>
        </w:rPr>
        <w:t>Sandridge Precinct</w:t>
      </w:r>
      <w:r>
        <w:rPr>
          <w:noProof/>
        </w:rPr>
        <w:fldChar w:fldCharType="end"/>
      </w:r>
    </w:p>
    <w:p w:rsidR="00314E42" w:rsidRDefault="009271C1" w:rsidP="000C5DD2">
      <w:pPr>
        <w:pStyle w:val="PPVBody"/>
      </w:pPr>
      <w:r>
        <w:rPr>
          <w:noProof/>
        </w:rPr>
        <w:fldChar w:fldCharType="begin"/>
      </w:r>
      <w:r>
        <w:rPr>
          <w:noProof/>
        </w:rPr>
        <w:instrText xml:space="preserve"> STYLEREF  "AA Date"  \* MERGEFORMAT </w:instrText>
      </w:r>
      <w:r>
        <w:rPr>
          <w:noProof/>
        </w:rPr>
        <w:fldChar w:fldCharType="separate"/>
      </w:r>
      <w:r w:rsidR="004B5700">
        <w:rPr>
          <w:noProof/>
        </w:rPr>
        <w:t>19July 2018</w:t>
      </w:r>
      <w:r>
        <w:rPr>
          <w:noProof/>
        </w:rPr>
        <w:fldChar w:fldCharType="end"/>
      </w:r>
    </w:p>
    <w:p w:rsidR="004B5700" w:rsidRDefault="004B5700" w:rsidP="004B5700">
      <w:pPr>
        <w:pStyle w:val="PPVBody"/>
        <w:rPr>
          <w:rFonts w:asciiTheme="minorHAnsi" w:hAnsiTheme="minorHAnsi"/>
        </w:rPr>
      </w:pPr>
    </w:p>
    <w:p w:rsidR="004B5700" w:rsidRDefault="004B5700" w:rsidP="004B5700">
      <w:pPr>
        <w:pStyle w:val="PPVBody"/>
        <w:tabs>
          <w:tab w:val="left" w:pos="4536"/>
        </w:tabs>
        <w:rPr>
          <w:rFonts w:asciiTheme="minorHAnsi" w:hAnsiTheme="minorHAnsi"/>
        </w:rPr>
      </w:pPr>
      <w:r>
        <w:rPr>
          <w:rFonts w:asciiTheme="minorHAnsi" w:hAnsiTheme="minorHAnsi"/>
          <w:noProof/>
        </w:rPr>
        <w:drawing>
          <wp:inline distT="0" distB="0" distL="0" distR="0" wp14:anchorId="0E87F2EB" wp14:editId="107ED167">
            <wp:extent cx="1285875" cy="857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r>
        <w:rPr>
          <w:rFonts w:asciiTheme="minorHAnsi" w:hAnsiTheme="minorHAnsi"/>
        </w:rPr>
        <w:tab/>
      </w:r>
      <w:r>
        <w:rPr>
          <w:rFonts w:asciiTheme="minorHAnsi" w:hAnsiTheme="minorHAnsi"/>
          <w:noProof/>
        </w:rPr>
        <w:drawing>
          <wp:inline distT="0" distB="0" distL="0" distR="0" wp14:anchorId="6C342073" wp14:editId="26CDD949">
            <wp:extent cx="1783080" cy="55435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3080" cy="554355"/>
                    </a:xfrm>
                    <a:prstGeom prst="rect">
                      <a:avLst/>
                    </a:prstGeom>
                    <a:noFill/>
                    <a:ln>
                      <a:noFill/>
                    </a:ln>
                  </pic:spPr>
                </pic:pic>
              </a:graphicData>
            </a:graphic>
          </wp:inline>
        </w:drawing>
      </w:r>
    </w:p>
    <w:p w:rsidR="004B5700" w:rsidRDefault="004B5700" w:rsidP="004B5700">
      <w:pPr>
        <w:pStyle w:val="PPVBody"/>
        <w:tabs>
          <w:tab w:val="left" w:pos="4536"/>
        </w:tabs>
        <w:rPr>
          <w:rFonts w:asciiTheme="minorHAnsi" w:hAnsiTheme="minorHAnsi"/>
        </w:rPr>
      </w:pPr>
      <w:r>
        <w:rPr>
          <w:rFonts w:asciiTheme="minorHAnsi" w:hAnsiTheme="minorHAnsi"/>
        </w:rPr>
        <w:t>Kathy Mitchell, Chair</w:t>
      </w:r>
      <w:r>
        <w:rPr>
          <w:rFonts w:asciiTheme="minorHAnsi" w:hAnsiTheme="minorHAnsi"/>
        </w:rPr>
        <w:tab/>
        <w:t>Lester Townsend, Deputy Chair</w:t>
      </w:r>
    </w:p>
    <w:p w:rsidR="004B5700" w:rsidRDefault="004B5700" w:rsidP="004B5700">
      <w:pPr>
        <w:pStyle w:val="PPVBody"/>
        <w:tabs>
          <w:tab w:val="left" w:pos="4536"/>
        </w:tabs>
        <w:rPr>
          <w:rFonts w:asciiTheme="minorHAnsi" w:hAnsiTheme="minorHAnsi"/>
        </w:rPr>
      </w:pPr>
    </w:p>
    <w:p w:rsidR="004B5700" w:rsidRDefault="004B5700" w:rsidP="004B5700">
      <w:pPr>
        <w:pStyle w:val="PPVBody"/>
        <w:tabs>
          <w:tab w:val="left" w:pos="4536"/>
        </w:tabs>
        <w:rPr>
          <w:rFonts w:asciiTheme="minorHAnsi" w:hAnsiTheme="minorHAnsi"/>
        </w:rPr>
      </w:pPr>
      <w:r>
        <w:rPr>
          <w:rFonts w:asciiTheme="minorHAnsi" w:hAnsiTheme="minorHAnsi"/>
          <w:noProof/>
        </w:rPr>
        <w:drawing>
          <wp:inline distT="0" distB="0" distL="0" distR="0" wp14:anchorId="42158296" wp14:editId="4E3F8FC1">
            <wp:extent cx="1468755" cy="5829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55" cy="582930"/>
                    </a:xfrm>
                    <a:prstGeom prst="rect">
                      <a:avLst/>
                    </a:prstGeom>
                    <a:noFill/>
                    <a:ln>
                      <a:noFill/>
                    </a:ln>
                  </pic:spPr>
                </pic:pic>
              </a:graphicData>
            </a:graphic>
          </wp:inline>
        </w:drawing>
      </w:r>
      <w:r>
        <w:rPr>
          <w:rFonts w:asciiTheme="minorHAnsi" w:hAnsiTheme="minorHAnsi"/>
        </w:rPr>
        <w:tab/>
      </w:r>
      <w:r>
        <w:rPr>
          <w:rFonts w:asciiTheme="minorHAnsi" w:hAnsiTheme="minorHAnsi"/>
          <w:noProof/>
        </w:rPr>
        <w:drawing>
          <wp:inline distT="0" distB="0" distL="0" distR="0" wp14:anchorId="777AC217" wp14:editId="3B74EA89">
            <wp:extent cx="1771650" cy="5543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554355"/>
                    </a:xfrm>
                    <a:prstGeom prst="rect">
                      <a:avLst/>
                    </a:prstGeom>
                    <a:noFill/>
                    <a:ln>
                      <a:noFill/>
                    </a:ln>
                  </pic:spPr>
                </pic:pic>
              </a:graphicData>
            </a:graphic>
          </wp:inline>
        </w:drawing>
      </w:r>
    </w:p>
    <w:p w:rsidR="004B5700" w:rsidRDefault="004B5700" w:rsidP="004B5700">
      <w:pPr>
        <w:pStyle w:val="PPVBody"/>
        <w:tabs>
          <w:tab w:val="left" w:pos="4536"/>
        </w:tabs>
        <w:rPr>
          <w:rFonts w:asciiTheme="minorHAnsi" w:hAnsiTheme="minorHAnsi"/>
        </w:rPr>
      </w:pPr>
      <w:r>
        <w:rPr>
          <w:rFonts w:asciiTheme="minorHAnsi" w:hAnsiTheme="minorHAnsi"/>
        </w:rPr>
        <w:t>Sarah Carlisle, Member</w:t>
      </w:r>
      <w:r>
        <w:rPr>
          <w:rFonts w:asciiTheme="minorHAnsi" w:hAnsiTheme="minorHAnsi"/>
        </w:rPr>
        <w:tab/>
      </w:r>
      <w:r>
        <w:rPr>
          <w:rFonts w:asciiTheme="minorHAnsi" w:hAnsiTheme="minorHAnsi"/>
        </w:rPr>
        <w:tab/>
        <w:t>Rodger Eade, Member</w:t>
      </w:r>
    </w:p>
    <w:p w:rsidR="004B5700" w:rsidRDefault="004B5700" w:rsidP="004B5700">
      <w:pPr>
        <w:pStyle w:val="PPVBody"/>
        <w:rPr>
          <w:rFonts w:asciiTheme="minorHAnsi" w:hAnsiTheme="minorHAnsi"/>
        </w:rPr>
      </w:pPr>
    </w:p>
    <w:p w:rsidR="004B5700" w:rsidRDefault="004B5700" w:rsidP="004B5700">
      <w:pPr>
        <w:pStyle w:val="PPVBody"/>
        <w:rPr>
          <w:rFonts w:asciiTheme="minorHAnsi" w:hAnsiTheme="minorHAnsi"/>
        </w:rPr>
      </w:pPr>
      <w:r>
        <w:rPr>
          <w:rFonts w:asciiTheme="minorHAnsi" w:hAnsiTheme="minorHAnsi"/>
          <w:noProof/>
        </w:rPr>
        <w:drawing>
          <wp:inline distT="0" distB="0" distL="0" distR="0" wp14:anchorId="0F565F1E" wp14:editId="7F8BB11A">
            <wp:extent cx="1645920" cy="525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525780"/>
                    </a:xfrm>
                    <a:prstGeom prst="rect">
                      <a:avLst/>
                    </a:prstGeom>
                    <a:noFill/>
                    <a:ln>
                      <a:noFill/>
                    </a:ln>
                  </pic:spPr>
                </pic:pic>
              </a:graphicData>
            </a:graphic>
          </wp:inline>
        </w:drawing>
      </w:r>
    </w:p>
    <w:p w:rsidR="00C70AC5" w:rsidRPr="00751390" w:rsidRDefault="004B5700" w:rsidP="004B5700">
      <w:pPr>
        <w:pStyle w:val="PPVBody"/>
        <w:tabs>
          <w:tab w:val="left" w:pos="4536"/>
        </w:tabs>
      </w:pPr>
      <w:r>
        <w:rPr>
          <w:rFonts w:asciiTheme="minorHAnsi" w:hAnsiTheme="minorHAnsi"/>
        </w:rPr>
        <w:t>Peter Edwards, Member</w:t>
      </w:r>
    </w:p>
    <w:p w:rsidR="00841E1C" w:rsidRPr="00C449DA" w:rsidRDefault="00841E1C" w:rsidP="00C449DA">
      <w:pPr>
        <w:pStyle w:val="NormalBlue"/>
        <w:tabs>
          <w:tab w:val="left" w:pos="4536"/>
        </w:tabs>
        <w:rPr>
          <w:highlight w:val="yellow"/>
        </w:rPr>
        <w:sectPr w:rsidR="00841E1C" w:rsidRPr="00C449DA" w:rsidSect="00454572">
          <w:footerReference w:type="default" r:id="rId21"/>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681DCE">
        <w:t>Contents</w:t>
      </w:r>
    </w:p>
    <w:bookmarkEnd w:id="0"/>
    <w:bookmarkEnd w:id="1"/>
    <w:bookmarkEnd w:id="2"/>
    <w:bookmarkEnd w:id="3"/>
    <w:bookmarkEnd w:id="4"/>
    <w:bookmarkEnd w:id="5"/>
    <w:bookmarkEnd w:id="6"/>
    <w:p w:rsidR="00841E1C" w:rsidRPr="005D5117" w:rsidRDefault="00841E1C" w:rsidP="00154B75">
      <w:pPr>
        <w:pStyle w:val="ZZPPVContentsPageNo"/>
        <w:spacing w:before="0"/>
        <w:rPr>
          <w:color w:val="auto"/>
        </w:rPr>
      </w:pPr>
      <w:r w:rsidRPr="00C449DA">
        <w:tab/>
      </w:r>
      <w:r w:rsidR="005D1F6F" w:rsidRPr="005D5117">
        <w:rPr>
          <w:color w:val="auto"/>
        </w:rPr>
        <w:t>Page</w:t>
      </w:r>
    </w:p>
    <w:p w:rsidR="0054678B" w:rsidRDefault="000E7757">
      <w:pPr>
        <w:pStyle w:val="TOC1"/>
        <w:rPr>
          <w:rFonts w:asciiTheme="minorHAnsi" w:eastAsiaTheme="minorEastAsia" w:hAnsiTheme="minorHAnsi" w:cstheme="minorBidi"/>
          <w:b w:val="0"/>
          <w:sz w:val="22"/>
          <w:szCs w:val="22"/>
        </w:rPr>
      </w:pPr>
      <w:r>
        <w:rPr>
          <w:b w:val="0"/>
        </w:rPr>
        <w:fldChar w:fldCharType="begin"/>
      </w:r>
      <w:r w:rsidR="00F236E4">
        <w:rPr>
          <w:b w:val="0"/>
        </w:rPr>
        <w:instrText xml:space="preserve"> TOC \t "Heading 1,1,Heading 2,2,PPV Exec Summary,1" </w:instrText>
      </w:r>
      <w:r>
        <w:rPr>
          <w:b w:val="0"/>
        </w:rPr>
        <w:fldChar w:fldCharType="separate"/>
      </w:r>
      <w:r w:rsidR="0054678B" w:rsidRPr="00207B9E">
        <w:rPr>
          <w:rFonts w:cs="Times New Roman"/>
          <w:color w:val="000000"/>
        </w:rPr>
        <w:t>1</w:t>
      </w:r>
      <w:r w:rsidR="0054678B">
        <w:rPr>
          <w:rFonts w:asciiTheme="minorHAnsi" w:eastAsiaTheme="minorEastAsia" w:hAnsiTheme="minorHAnsi" w:cstheme="minorBidi"/>
          <w:b w:val="0"/>
          <w:sz w:val="22"/>
          <w:szCs w:val="22"/>
        </w:rPr>
        <w:tab/>
      </w:r>
      <w:r w:rsidR="0054678B">
        <w:t>Strategic Overview</w:t>
      </w:r>
      <w:r w:rsidR="0054678B">
        <w:tab/>
      </w:r>
      <w:r w:rsidR="0054678B">
        <w:fldChar w:fldCharType="begin"/>
      </w:r>
      <w:r w:rsidR="0054678B">
        <w:instrText xml:space="preserve"> PAGEREF _Toc519848963 \h </w:instrText>
      </w:r>
      <w:r w:rsidR="0054678B">
        <w:fldChar w:fldCharType="separate"/>
      </w:r>
      <w:r w:rsidR="0054678B">
        <w:t>1</w:t>
      </w:r>
      <w:r w:rsidR="0054678B">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1.1</w:t>
      </w:r>
      <w:r>
        <w:rPr>
          <w:rFonts w:asciiTheme="minorHAnsi" w:eastAsiaTheme="minorEastAsia" w:hAnsiTheme="minorHAnsi" w:cstheme="minorBidi"/>
          <w:sz w:val="22"/>
          <w:szCs w:val="22"/>
        </w:rPr>
        <w:tab/>
      </w:r>
      <w:r>
        <w:t>Precinct context</w:t>
      </w:r>
      <w:r>
        <w:tab/>
      </w:r>
      <w:r>
        <w:fldChar w:fldCharType="begin"/>
      </w:r>
      <w:r>
        <w:instrText xml:space="preserve"> PAGEREF _Toc519848964 \h </w:instrText>
      </w:r>
      <w:r>
        <w:fldChar w:fldCharType="separate"/>
      </w:r>
      <w:r>
        <w:t>1</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1.2</w:t>
      </w:r>
      <w:r>
        <w:rPr>
          <w:rFonts w:asciiTheme="minorHAnsi" w:eastAsiaTheme="minorEastAsia" w:hAnsiTheme="minorHAnsi" w:cstheme="minorBidi"/>
          <w:sz w:val="22"/>
          <w:szCs w:val="22"/>
        </w:rPr>
        <w:tab/>
      </w:r>
      <w:r>
        <w:t>Existing planning controls</w:t>
      </w:r>
      <w:r>
        <w:tab/>
      </w:r>
      <w:r>
        <w:fldChar w:fldCharType="begin"/>
      </w:r>
      <w:r>
        <w:instrText xml:space="preserve"> PAGEREF _Toc519848965 \h </w:instrText>
      </w:r>
      <w:r>
        <w:fldChar w:fldCharType="separate"/>
      </w:r>
      <w:r>
        <w:t>1</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1.3</w:t>
      </w:r>
      <w:r>
        <w:rPr>
          <w:rFonts w:asciiTheme="minorHAnsi" w:eastAsiaTheme="minorEastAsia" w:hAnsiTheme="minorHAnsi" w:cstheme="minorBidi"/>
          <w:sz w:val="22"/>
          <w:szCs w:val="22"/>
        </w:rPr>
        <w:tab/>
      </w:r>
      <w:r>
        <w:t>Planning permit application history</w:t>
      </w:r>
      <w:r>
        <w:tab/>
      </w:r>
      <w:r>
        <w:fldChar w:fldCharType="begin"/>
      </w:r>
      <w:r>
        <w:instrText xml:space="preserve"> PAGEREF _Toc519848966 \h </w:instrText>
      </w:r>
      <w:r>
        <w:fldChar w:fldCharType="separate"/>
      </w:r>
      <w:r>
        <w:t>3</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1.4</w:t>
      </w:r>
      <w:r>
        <w:rPr>
          <w:rFonts w:asciiTheme="minorHAnsi" w:eastAsiaTheme="minorEastAsia" w:hAnsiTheme="minorHAnsi" w:cstheme="minorBidi"/>
          <w:sz w:val="22"/>
          <w:szCs w:val="22"/>
        </w:rPr>
        <w:tab/>
      </w:r>
      <w:r>
        <w:t>Hearing process</w:t>
      </w:r>
      <w:r>
        <w:tab/>
      </w:r>
      <w:r>
        <w:fldChar w:fldCharType="begin"/>
      </w:r>
      <w:r>
        <w:instrText xml:space="preserve"> PAGEREF _Toc519848967 \h </w:instrText>
      </w:r>
      <w:r>
        <w:fldChar w:fldCharType="separate"/>
      </w:r>
      <w:r>
        <w:t>3</w:t>
      </w:r>
      <w:r>
        <w:fldChar w:fldCharType="end"/>
      </w:r>
    </w:p>
    <w:p w:rsidR="0054678B" w:rsidRDefault="0054678B">
      <w:pPr>
        <w:pStyle w:val="TOC1"/>
        <w:rPr>
          <w:rFonts w:asciiTheme="minorHAnsi" w:eastAsiaTheme="minorEastAsia" w:hAnsiTheme="minorHAnsi" w:cstheme="minorBidi"/>
          <w:b w:val="0"/>
          <w:sz w:val="22"/>
          <w:szCs w:val="22"/>
        </w:rPr>
      </w:pPr>
      <w:r w:rsidRPr="00207B9E">
        <w:rPr>
          <w:rFonts w:cs="Times New Roman"/>
          <w:color w:val="000000"/>
        </w:rPr>
        <w:t>2</w:t>
      </w:r>
      <w:r>
        <w:rPr>
          <w:rFonts w:asciiTheme="minorHAnsi" w:eastAsiaTheme="minorEastAsia" w:hAnsiTheme="minorHAnsi" w:cstheme="minorBidi"/>
          <w:b w:val="0"/>
          <w:sz w:val="22"/>
          <w:szCs w:val="22"/>
        </w:rPr>
        <w:tab/>
      </w:r>
      <w:r>
        <w:t>Vision and Framework</w:t>
      </w:r>
      <w:r>
        <w:tab/>
      </w:r>
      <w:r>
        <w:fldChar w:fldCharType="begin"/>
      </w:r>
      <w:r>
        <w:instrText xml:space="preserve"> PAGEREF _Toc519848968 \h </w:instrText>
      </w:r>
      <w:r>
        <w:fldChar w:fldCharType="separate"/>
      </w:r>
      <w:r>
        <w:t>4</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2.1</w:t>
      </w:r>
      <w:r>
        <w:rPr>
          <w:rFonts w:asciiTheme="minorHAnsi" w:eastAsiaTheme="minorEastAsia" w:hAnsiTheme="minorHAnsi" w:cstheme="minorBidi"/>
          <w:sz w:val="22"/>
          <w:szCs w:val="22"/>
        </w:rPr>
        <w:tab/>
      </w:r>
      <w:r>
        <w:t>Sandridge Vision</w:t>
      </w:r>
      <w:r>
        <w:tab/>
      </w:r>
      <w:r>
        <w:fldChar w:fldCharType="begin"/>
      </w:r>
      <w:r>
        <w:instrText xml:space="preserve"> PAGEREF _Toc519848969 \h </w:instrText>
      </w:r>
      <w:r>
        <w:fldChar w:fldCharType="separate"/>
      </w:r>
      <w:r>
        <w:t>4</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2.2</w:t>
      </w:r>
      <w:r>
        <w:rPr>
          <w:rFonts w:asciiTheme="minorHAnsi" w:eastAsiaTheme="minorEastAsia" w:hAnsiTheme="minorHAnsi" w:cstheme="minorBidi"/>
          <w:sz w:val="22"/>
          <w:szCs w:val="22"/>
        </w:rPr>
        <w:tab/>
      </w:r>
      <w:r>
        <w:t>Proposed urban structure</w:t>
      </w:r>
      <w:r>
        <w:tab/>
      </w:r>
      <w:r>
        <w:fldChar w:fldCharType="begin"/>
      </w:r>
      <w:r>
        <w:instrText xml:space="preserve"> PAGEREF _Toc519848970 \h </w:instrText>
      </w:r>
      <w:r>
        <w:fldChar w:fldCharType="separate"/>
      </w:r>
      <w:r>
        <w:t>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2.3</w:t>
      </w:r>
      <w:r>
        <w:rPr>
          <w:rFonts w:asciiTheme="minorHAnsi" w:eastAsiaTheme="minorEastAsia" w:hAnsiTheme="minorHAnsi" w:cstheme="minorBidi"/>
          <w:sz w:val="22"/>
          <w:szCs w:val="22"/>
        </w:rPr>
        <w:tab/>
      </w:r>
      <w:r>
        <w:t>Proposed built form</w:t>
      </w:r>
      <w:r>
        <w:tab/>
      </w:r>
      <w:r>
        <w:fldChar w:fldCharType="begin"/>
      </w:r>
      <w:r>
        <w:instrText xml:space="preserve"> PAGEREF _Toc519848971 \h </w:instrText>
      </w:r>
      <w:r>
        <w:fldChar w:fldCharType="separate"/>
      </w:r>
      <w:r>
        <w:t>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2.4</w:t>
      </w:r>
      <w:r>
        <w:rPr>
          <w:rFonts w:asciiTheme="minorHAnsi" w:eastAsiaTheme="minorEastAsia" w:hAnsiTheme="minorHAnsi" w:cstheme="minorBidi"/>
          <w:sz w:val="22"/>
          <w:szCs w:val="22"/>
        </w:rPr>
        <w:tab/>
      </w:r>
      <w:r>
        <w:t>Key issues</w:t>
      </w:r>
      <w:r>
        <w:tab/>
      </w:r>
      <w:r>
        <w:fldChar w:fldCharType="begin"/>
      </w:r>
      <w:r>
        <w:instrText xml:space="preserve"> PAGEREF _Toc519848972 \h </w:instrText>
      </w:r>
      <w:r>
        <w:fldChar w:fldCharType="separate"/>
      </w:r>
      <w:r>
        <w:t>6</w:t>
      </w:r>
      <w:r>
        <w:fldChar w:fldCharType="end"/>
      </w:r>
    </w:p>
    <w:p w:rsidR="0054678B" w:rsidRDefault="0054678B">
      <w:pPr>
        <w:pStyle w:val="TOC1"/>
        <w:rPr>
          <w:rFonts w:asciiTheme="minorHAnsi" w:eastAsiaTheme="minorEastAsia" w:hAnsiTheme="minorHAnsi" w:cstheme="minorBidi"/>
          <w:b w:val="0"/>
          <w:sz w:val="22"/>
          <w:szCs w:val="22"/>
        </w:rPr>
      </w:pPr>
      <w:r w:rsidRPr="00207B9E">
        <w:rPr>
          <w:rFonts w:cs="Times New Roman"/>
          <w:color w:val="000000"/>
        </w:rPr>
        <w:t>3</w:t>
      </w:r>
      <w:r>
        <w:rPr>
          <w:rFonts w:asciiTheme="minorHAnsi" w:eastAsiaTheme="minorEastAsia" w:hAnsiTheme="minorHAnsi" w:cstheme="minorBidi"/>
          <w:b w:val="0"/>
          <w:sz w:val="22"/>
          <w:szCs w:val="22"/>
        </w:rPr>
        <w:tab/>
      </w:r>
      <w:r>
        <w:t>Urban structure and built form</w:t>
      </w:r>
      <w:r>
        <w:tab/>
      </w:r>
      <w:r>
        <w:fldChar w:fldCharType="begin"/>
      </w:r>
      <w:r>
        <w:instrText xml:space="preserve"> PAGEREF _Toc519848973 \h </w:instrText>
      </w:r>
      <w:r>
        <w:fldChar w:fldCharType="separate"/>
      </w:r>
      <w:r>
        <w:t>7</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3.1</w:t>
      </w:r>
      <w:r>
        <w:rPr>
          <w:rFonts w:asciiTheme="minorHAnsi" w:eastAsiaTheme="minorEastAsia" w:hAnsiTheme="minorHAnsi" w:cstheme="minorBidi"/>
          <w:sz w:val="22"/>
          <w:szCs w:val="22"/>
        </w:rPr>
        <w:tab/>
      </w:r>
      <w:r>
        <w:t>Context</w:t>
      </w:r>
      <w:r>
        <w:tab/>
      </w:r>
      <w:r>
        <w:fldChar w:fldCharType="begin"/>
      </w:r>
      <w:r>
        <w:instrText xml:space="preserve"> PAGEREF _Toc519848974 \h </w:instrText>
      </w:r>
      <w:r>
        <w:fldChar w:fldCharType="separate"/>
      </w:r>
      <w:r>
        <w:t>7</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3.2</w:t>
      </w:r>
      <w:r>
        <w:rPr>
          <w:rFonts w:asciiTheme="minorHAnsi" w:eastAsiaTheme="minorEastAsia" w:hAnsiTheme="minorHAnsi" w:cstheme="minorBidi"/>
          <w:sz w:val="22"/>
          <w:szCs w:val="22"/>
        </w:rPr>
        <w:tab/>
      </w:r>
      <w:r>
        <w:t>General urban structure</w:t>
      </w:r>
      <w:r>
        <w:tab/>
      </w:r>
      <w:r>
        <w:fldChar w:fldCharType="begin"/>
      </w:r>
      <w:r>
        <w:instrText xml:space="preserve"> PAGEREF _Toc519848975 \h </w:instrText>
      </w:r>
      <w:r>
        <w:fldChar w:fldCharType="separate"/>
      </w:r>
      <w:r>
        <w:t>10</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3.3</w:t>
      </w:r>
      <w:r>
        <w:rPr>
          <w:rFonts w:asciiTheme="minorHAnsi" w:eastAsiaTheme="minorEastAsia" w:hAnsiTheme="minorHAnsi" w:cstheme="minorBidi"/>
          <w:sz w:val="22"/>
          <w:szCs w:val="22"/>
        </w:rPr>
        <w:tab/>
      </w:r>
      <w:r>
        <w:t>Achieving a varied building typology</w:t>
      </w:r>
      <w:r>
        <w:tab/>
      </w:r>
      <w:r>
        <w:fldChar w:fldCharType="begin"/>
      </w:r>
      <w:r>
        <w:instrText xml:space="preserve"> PAGEREF _Toc519848976 \h </w:instrText>
      </w:r>
      <w:r>
        <w:fldChar w:fldCharType="separate"/>
      </w:r>
      <w:r>
        <w:t>12</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3.4</w:t>
      </w:r>
      <w:r>
        <w:rPr>
          <w:rFonts w:asciiTheme="minorHAnsi" w:eastAsiaTheme="minorEastAsia" w:hAnsiTheme="minorHAnsi" w:cstheme="minorBidi"/>
          <w:sz w:val="22"/>
          <w:szCs w:val="22"/>
        </w:rPr>
        <w:tab/>
      </w:r>
      <w:r>
        <w:t>Proposed density</w:t>
      </w:r>
      <w:r>
        <w:tab/>
      </w:r>
      <w:r>
        <w:fldChar w:fldCharType="begin"/>
      </w:r>
      <w:r>
        <w:instrText xml:space="preserve"> PAGEREF _Toc519848977 \h </w:instrText>
      </w:r>
      <w:r>
        <w:fldChar w:fldCharType="separate"/>
      </w:r>
      <w:r>
        <w:t>13</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3.5</w:t>
      </w:r>
      <w:r>
        <w:rPr>
          <w:rFonts w:asciiTheme="minorHAnsi" w:eastAsiaTheme="minorEastAsia" w:hAnsiTheme="minorHAnsi" w:cstheme="minorBidi"/>
          <w:sz w:val="22"/>
          <w:szCs w:val="22"/>
        </w:rPr>
        <w:tab/>
      </w:r>
      <w:r>
        <w:t>Building heights</w:t>
      </w:r>
      <w:r>
        <w:tab/>
      </w:r>
      <w:r>
        <w:fldChar w:fldCharType="begin"/>
      </w:r>
      <w:r>
        <w:instrText xml:space="preserve"> PAGEREF _Toc519848978 \h </w:instrText>
      </w:r>
      <w:r>
        <w:fldChar w:fldCharType="separate"/>
      </w:r>
      <w:r>
        <w:t>14</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3.6</w:t>
      </w:r>
      <w:r>
        <w:rPr>
          <w:rFonts w:asciiTheme="minorHAnsi" w:eastAsiaTheme="minorEastAsia" w:hAnsiTheme="minorHAnsi" w:cstheme="minorBidi"/>
          <w:sz w:val="22"/>
          <w:szCs w:val="22"/>
        </w:rPr>
        <w:tab/>
      </w:r>
      <w:r>
        <w:t>Street wall heights</w:t>
      </w:r>
      <w:r>
        <w:tab/>
      </w:r>
      <w:r>
        <w:fldChar w:fldCharType="begin"/>
      </w:r>
      <w:r>
        <w:instrText xml:space="preserve"> PAGEREF _Toc519848979 \h </w:instrText>
      </w:r>
      <w:r>
        <w:fldChar w:fldCharType="separate"/>
      </w:r>
      <w:r>
        <w:t>15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3.7</w:t>
      </w:r>
      <w:r>
        <w:rPr>
          <w:rFonts w:asciiTheme="minorHAnsi" w:eastAsiaTheme="minorEastAsia" w:hAnsiTheme="minorHAnsi" w:cstheme="minorBidi"/>
          <w:sz w:val="22"/>
          <w:szCs w:val="22"/>
        </w:rPr>
        <w:tab/>
      </w:r>
      <w:r>
        <w:t>Communal open space</w:t>
      </w:r>
      <w:r>
        <w:tab/>
      </w:r>
      <w:r>
        <w:fldChar w:fldCharType="begin"/>
      </w:r>
      <w:r>
        <w:instrText xml:space="preserve"> PAGEREF _Toc519848980 \h </w:instrText>
      </w:r>
      <w:r>
        <w:fldChar w:fldCharType="separate"/>
      </w:r>
      <w:r>
        <w:t>16</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3.8</w:t>
      </w:r>
      <w:r>
        <w:rPr>
          <w:rFonts w:asciiTheme="minorHAnsi" w:eastAsiaTheme="minorEastAsia" w:hAnsiTheme="minorHAnsi" w:cstheme="minorBidi"/>
          <w:sz w:val="22"/>
          <w:szCs w:val="22"/>
        </w:rPr>
        <w:tab/>
      </w:r>
      <w:r>
        <w:t>Active frontages</w:t>
      </w:r>
      <w:r>
        <w:tab/>
      </w:r>
      <w:r>
        <w:fldChar w:fldCharType="begin"/>
      </w:r>
      <w:r>
        <w:instrText xml:space="preserve"> PAGEREF _Toc519848981 \h </w:instrText>
      </w:r>
      <w:r>
        <w:fldChar w:fldCharType="separate"/>
      </w:r>
      <w:r>
        <w:t>17</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3.9</w:t>
      </w:r>
      <w:r>
        <w:rPr>
          <w:rFonts w:asciiTheme="minorHAnsi" w:eastAsiaTheme="minorEastAsia" w:hAnsiTheme="minorHAnsi" w:cstheme="minorBidi"/>
          <w:sz w:val="22"/>
          <w:szCs w:val="22"/>
        </w:rPr>
        <w:tab/>
      </w:r>
      <w:r>
        <w:t>Findings and recommendations</w:t>
      </w:r>
      <w:r>
        <w:tab/>
      </w:r>
      <w:r>
        <w:fldChar w:fldCharType="begin"/>
      </w:r>
      <w:r>
        <w:instrText xml:space="preserve"> PAGEREF _Toc519848982 \h </w:instrText>
      </w:r>
      <w:r>
        <w:fldChar w:fldCharType="separate"/>
      </w:r>
      <w:r>
        <w:t>18</w:t>
      </w:r>
      <w:r>
        <w:fldChar w:fldCharType="end"/>
      </w:r>
    </w:p>
    <w:p w:rsidR="0054678B" w:rsidRDefault="0054678B">
      <w:pPr>
        <w:pStyle w:val="TOC1"/>
        <w:rPr>
          <w:rFonts w:asciiTheme="minorHAnsi" w:eastAsiaTheme="minorEastAsia" w:hAnsiTheme="minorHAnsi" w:cstheme="minorBidi"/>
          <w:b w:val="0"/>
          <w:sz w:val="22"/>
          <w:szCs w:val="22"/>
        </w:rPr>
      </w:pPr>
      <w:r w:rsidRPr="00207B9E">
        <w:rPr>
          <w:rFonts w:cs="Times New Roman"/>
          <w:color w:val="000000"/>
        </w:rPr>
        <w:t>4</w:t>
      </w:r>
      <w:r>
        <w:rPr>
          <w:rFonts w:asciiTheme="minorHAnsi" w:eastAsiaTheme="minorEastAsia" w:hAnsiTheme="minorHAnsi" w:cstheme="minorBidi"/>
          <w:b w:val="0"/>
          <w:sz w:val="22"/>
          <w:szCs w:val="22"/>
        </w:rPr>
        <w:tab/>
      </w:r>
      <w:r>
        <w:t>Location of open space</w:t>
      </w:r>
      <w:r>
        <w:tab/>
      </w:r>
      <w:r>
        <w:fldChar w:fldCharType="begin"/>
      </w:r>
      <w:r>
        <w:instrText xml:space="preserve"> PAGEREF _Toc519848983 \h </w:instrText>
      </w:r>
      <w:r>
        <w:fldChar w:fldCharType="separate"/>
      </w:r>
      <w:r>
        <w:t>19</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4.1</w:t>
      </w:r>
      <w:r>
        <w:rPr>
          <w:rFonts w:asciiTheme="minorHAnsi" w:eastAsiaTheme="minorEastAsia" w:hAnsiTheme="minorHAnsi" w:cstheme="minorBidi"/>
          <w:sz w:val="22"/>
          <w:szCs w:val="22"/>
        </w:rPr>
        <w:tab/>
      </w:r>
      <w:r>
        <w:t>Context</w:t>
      </w:r>
      <w:r>
        <w:tab/>
      </w:r>
      <w:r>
        <w:fldChar w:fldCharType="begin"/>
      </w:r>
      <w:r>
        <w:instrText xml:space="preserve"> PAGEREF _Toc519848984 \h </w:instrText>
      </w:r>
      <w:r>
        <w:fldChar w:fldCharType="separate"/>
      </w:r>
      <w:r>
        <w:t>19</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4.2</w:t>
      </w:r>
      <w:r>
        <w:rPr>
          <w:rFonts w:asciiTheme="minorHAnsi" w:eastAsiaTheme="minorEastAsia" w:hAnsiTheme="minorHAnsi" w:cstheme="minorBidi"/>
          <w:sz w:val="22"/>
          <w:szCs w:val="22"/>
        </w:rPr>
        <w:tab/>
      </w:r>
      <w:r>
        <w:t>Plummer Street and Bridge Street ‘civic square’</w:t>
      </w:r>
      <w:r>
        <w:tab/>
      </w:r>
      <w:r>
        <w:fldChar w:fldCharType="begin"/>
      </w:r>
      <w:r>
        <w:instrText xml:space="preserve"> PAGEREF _Toc519848985 \h </w:instrText>
      </w:r>
      <w:r>
        <w:fldChar w:fldCharType="separate"/>
      </w:r>
      <w:r>
        <w:t>19</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4.3</w:t>
      </w:r>
      <w:r>
        <w:rPr>
          <w:rFonts w:asciiTheme="minorHAnsi" w:eastAsiaTheme="minorEastAsia" w:hAnsiTheme="minorHAnsi" w:cstheme="minorBidi"/>
          <w:sz w:val="22"/>
          <w:szCs w:val="22"/>
        </w:rPr>
        <w:tab/>
      </w:r>
      <w:r>
        <w:t>Woolboard and Bertie Streets</w:t>
      </w:r>
      <w:r>
        <w:tab/>
      </w:r>
      <w:r>
        <w:fldChar w:fldCharType="begin"/>
      </w:r>
      <w:r>
        <w:instrText xml:space="preserve"> PAGEREF _Toc519848986 \h </w:instrText>
      </w:r>
      <w:r>
        <w:fldChar w:fldCharType="separate"/>
      </w:r>
      <w:r>
        <w:t>21</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4.4</w:t>
      </w:r>
      <w:r>
        <w:rPr>
          <w:rFonts w:asciiTheme="minorHAnsi" w:eastAsiaTheme="minorEastAsia" w:hAnsiTheme="minorHAnsi" w:cstheme="minorBidi"/>
          <w:sz w:val="22"/>
          <w:szCs w:val="22"/>
        </w:rPr>
        <w:tab/>
      </w:r>
      <w:r>
        <w:t>Woolboard Road extension open space</w:t>
      </w:r>
      <w:r>
        <w:tab/>
      </w:r>
      <w:r>
        <w:fldChar w:fldCharType="begin"/>
      </w:r>
      <w:r>
        <w:instrText xml:space="preserve"> PAGEREF _Toc519848987 \h </w:instrText>
      </w:r>
      <w:r>
        <w:fldChar w:fldCharType="separate"/>
      </w:r>
      <w:r>
        <w:t>22</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4.5</w:t>
      </w:r>
      <w:r>
        <w:rPr>
          <w:rFonts w:asciiTheme="minorHAnsi" w:eastAsiaTheme="minorEastAsia" w:hAnsiTheme="minorHAnsi" w:cstheme="minorBidi"/>
          <w:sz w:val="22"/>
          <w:szCs w:val="22"/>
        </w:rPr>
        <w:tab/>
      </w:r>
      <w:r>
        <w:t>Boundary Street park</w:t>
      </w:r>
      <w:r>
        <w:tab/>
      </w:r>
      <w:r>
        <w:fldChar w:fldCharType="begin"/>
      </w:r>
      <w:r>
        <w:instrText xml:space="preserve"> PAGEREF _Toc519848988 \h </w:instrText>
      </w:r>
      <w:r>
        <w:fldChar w:fldCharType="separate"/>
      </w:r>
      <w:r>
        <w:t>22</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4.6</w:t>
      </w:r>
      <w:r>
        <w:rPr>
          <w:rFonts w:asciiTheme="minorHAnsi" w:eastAsiaTheme="minorEastAsia" w:hAnsiTheme="minorHAnsi" w:cstheme="minorBidi"/>
          <w:sz w:val="22"/>
          <w:szCs w:val="22"/>
        </w:rPr>
        <w:tab/>
      </w:r>
      <w:r>
        <w:t>Corner of Fennel and Bertie Streets</w:t>
      </w:r>
      <w:r>
        <w:tab/>
      </w:r>
      <w:r>
        <w:fldChar w:fldCharType="begin"/>
      </w:r>
      <w:r>
        <w:instrText xml:space="preserve"> PAGEREF _Toc519848989 \h </w:instrText>
      </w:r>
      <w:r>
        <w:fldChar w:fldCharType="separate"/>
      </w:r>
      <w:r>
        <w:t>23</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4.7</w:t>
      </w:r>
      <w:r>
        <w:rPr>
          <w:rFonts w:asciiTheme="minorHAnsi" w:eastAsiaTheme="minorEastAsia" w:hAnsiTheme="minorHAnsi" w:cstheme="minorBidi"/>
          <w:sz w:val="22"/>
          <w:szCs w:val="22"/>
        </w:rPr>
        <w:tab/>
      </w:r>
      <w:r>
        <w:t>Findings</w:t>
      </w:r>
      <w:r>
        <w:tab/>
      </w:r>
      <w:r>
        <w:fldChar w:fldCharType="begin"/>
      </w:r>
      <w:r>
        <w:instrText xml:space="preserve"> PAGEREF _Toc519848990 \h </w:instrText>
      </w:r>
      <w:r>
        <w:fldChar w:fldCharType="separate"/>
      </w:r>
      <w:r>
        <w:t>23</w:t>
      </w:r>
      <w:r>
        <w:fldChar w:fldCharType="end"/>
      </w:r>
    </w:p>
    <w:p w:rsidR="0054678B" w:rsidRDefault="0054678B">
      <w:pPr>
        <w:pStyle w:val="TOC1"/>
        <w:rPr>
          <w:rFonts w:asciiTheme="minorHAnsi" w:eastAsiaTheme="minorEastAsia" w:hAnsiTheme="minorHAnsi" w:cstheme="minorBidi"/>
          <w:b w:val="0"/>
          <w:sz w:val="22"/>
          <w:szCs w:val="22"/>
        </w:rPr>
      </w:pPr>
      <w:r w:rsidRPr="00207B9E">
        <w:rPr>
          <w:rFonts w:cs="Times New Roman"/>
          <w:color w:val="000000"/>
        </w:rPr>
        <w:t>5</w:t>
      </w:r>
      <w:r>
        <w:rPr>
          <w:rFonts w:asciiTheme="minorHAnsi" w:eastAsiaTheme="minorEastAsia" w:hAnsiTheme="minorHAnsi" w:cstheme="minorBidi"/>
          <w:b w:val="0"/>
          <w:sz w:val="22"/>
          <w:szCs w:val="22"/>
        </w:rPr>
        <w:tab/>
      </w:r>
      <w:r>
        <w:t>Location of community hubs</w:t>
      </w:r>
      <w:r>
        <w:tab/>
      </w:r>
      <w:r>
        <w:fldChar w:fldCharType="begin"/>
      </w:r>
      <w:r>
        <w:instrText xml:space="preserve"> PAGEREF _Toc519848991 \h </w:instrText>
      </w:r>
      <w:r>
        <w:fldChar w:fldCharType="separate"/>
      </w:r>
      <w:r>
        <w:t>25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5.1</w:t>
      </w:r>
      <w:r>
        <w:rPr>
          <w:rFonts w:asciiTheme="minorHAnsi" w:eastAsiaTheme="minorEastAsia" w:hAnsiTheme="minorHAnsi" w:cstheme="minorBidi"/>
          <w:sz w:val="22"/>
          <w:szCs w:val="22"/>
        </w:rPr>
        <w:tab/>
      </w:r>
      <w:r>
        <w:t>Context</w:t>
      </w:r>
      <w:r>
        <w:tab/>
      </w:r>
      <w:r>
        <w:fldChar w:fldCharType="begin"/>
      </w:r>
      <w:r>
        <w:instrText xml:space="preserve"> PAGEREF _Toc519848992 \h </w:instrText>
      </w:r>
      <w:r>
        <w:fldChar w:fldCharType="separate"/>
      </w:r>
      <w:r>
        <w:t>25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5.2</w:t>
      </w:r>
      <w:r>
        <w:rPr>
          <w:rFonts w:asciiTheme="minorHAnsi" w:eastAsiaTheme="minorEastAsia" w:hAnsiTheme="minorHAnsi" w:cstheme="minorBidi"/>
          <w:sz w:val="22"/>
          <w:szCs w:val="22"/>
        </w:rPr>
        <w:tab/>
      </w:r>
      <w:r>
        <w:t>Submissions and evidence</w:t>
      </w:r>
      <w:r>
        <w:tab/>
      </w:r>
      <w:r>
        <w:fldChar w:fldCharType="begin"/>
      </w:r>
      <w:r>
        <w:instrText xml:space="preserve"> PAGEREF _Toc519848993 \h </w:instrText>
      </w:r>
      <w:r>
        <w:fldChar w:fldCharType="separate"/>
      </w:r>
      <w:r>
        <w:t>25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5.3</w:t>
      </w:r>
      <w:r>
        <w:rPr>
          <w:rFonts w:asciiTheme="minorHAnsi" w:eastAsiaTheme="minorEastAsia" w:hAnsiTheme="minorHAnsi" w:cstheme="minorBidi"/>
          <w:sz w:val="22"/>
          <w:szCs w:val="22"/>
        </w:rPr>
        <w:tab/>
      </w:r>
      <w:r>
        <w:t>Discussion</w:t>
      </w:r>
      <w:r>
        <w:tab/>
      </w:r>
      <w:r>
        <w:fldChar w:fldCharType="begin"/>
      </w:r>
      <w:r>
        <w:instrText xml:space="preserve"> PAGEREF _Toc519848994 \h </w:instrText>
      </w:r>
      <w:r>
        <w:fldChar w:fldCharType="separate"/>
      </w:r>
      <w:r>
        <w:t>27</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5.4</w:t>
      </w:r>
      <w:r>
        <w:rPr>
          <w:rFonts w:asciiTheme="minorHAnsi" w:eastAsiaTheme="minorEastAsia" w:hAnsiTheme="minorHAnsi" w:cstheme="minorBidi"/>
          <w:sz w:val="22"/>
          <w:szCs w:val="22"/>
        </w:rPr>
        <w:tab/>
      </w:r>
      <w:r>
        <w:t>Findings and recommendations</w:t>
      </w:r>
      <w:r>
        <w:tab/>
      </w:r>
      <w:r>
        <w:fldChar w:fldCharType="begin"/>
      </w:r>
      <w:r>
        <w:instrText xml:space="preserve"> PAGEREF _Toc519848995 \h </w:instrText>
      </w:r>
      <w:r>
        <w:fldChar w:fldCharType="separate"/>
      </w:r>
      <w:r>
        <w:t>27</w:t>
      </w:r>
      <w:r>
        <w:fldChar w:fldCharType="end"/>
      </w:r>
    </w:p>
    <w:p w:rsidR="0054678B" w:rsidRDefault="0054678B">
      <w:pPr>
        <w:pStyle w:val="TOC1"/>
        <w:rPr>
          <w:rFonts w:asciiTheme="minorHAnsi" w:eastAsiaTheme="minorEastAsia" w:hAnsiTheme="minorHAnsi" w:cstheme="minorBidi"/>
          <w:b w:val="0"/>
          <w:sz w:val="22"/>
          <w:szCs w:val="22"/>
        </w:rPr>
      </w:pPr>
      <w:r w:rsidRPr="00207B9E">
        <w:rPr>
          <w:rFonts w:cs="Times New Roman"/>
          <w:color w:val="000000"/>
        </w:rPr>
        <w:t>6</w:t>
      </w:r>
      <w:r>
        <w:rPr>
          <w:rFonts w:asciiTheme="minorHAnsi" w:eastAsiaTheme="minorEastAsia" w:hAnsiTheme="minorHAnsi" w:cstheme="minorBidi"/>
          <w:b w:val="0"/>
          <w:sz w:val="22"/>
          <w:szCs w:val="22"/>
        </w:rPr>
        <w:tab/>
      </w:r>
      <w:r>
        <w:t>Roads and transport infrastructure</w:t>
      </w:r>
      <w:r>
        <w:tab/>
      </w:r>
      <w:r>
        <w:fldChar w:fldCharType="begin"/>
      </w:r>
      <w:r>
        <w:instrText xml:space="preserve"> PAGEREF _Toc519848996 \h </w:instrText>
      </w:r>
      <w:r>
        <w:fldChar w:fldCharType="separate"/>
      </w:r>
      <w:r>
        <w:t>28</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6.1</w:t>
      </w:r>
      <w:r>
        <w:rPr>
          <w:rFonts w:asciiTheme="minorHAnsi" w:eastAsiaTheme="minorEastAsia" w:hAnsiTheme="minorHAnsi" w:cstheme="minorBidi"/>
          <w:sz w:val="22"/>
          <w:szCs w:val="22"/>
        </w:rPr>
        <w:tab/>
      </w:r>
      <w:r>
        <w:t>Context</w:t>
      </w:r>
      <w:r>
        <w:tab/>
      </w:r>
      <w:r>
        <w:fldChar w:fldCharType="begin"/>
      </w:r>
      <w:r>
        <w:instrText xml:space="preserve"> PAGEREF _Toc519848997 \h </w:instrText>
      </w:r>
      <w:r>
        <w:fldChar w:fldCharType="separate"/>
      </w:r>
      <w:r>
        <w:t>28</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6.2</w:t>
      </w:r>
      <w:r>
        <w:rPr>
          <w:rFonts w:asciiTheme="minorHAnsi" w:eastAsiaTheme="minorEastAsia" w:hAnsiTheme="minorHAnsi" w:cstheme="minorBidi"/>
          <w:sz w:val="22"/>
          <w:szCs w:val="22"/>
        </w:rPr>
        <w:tab/>
      </w:r>
      <w:r>
        <w:t>New roads south of Fennell Street</w:t>
      </w:r>
      <w:r>
        <w:tab/>
      </w:r>
      <w:r>
        <w:fldChar w:fldCharType="begin"/>
      </w:r>
      <w:r>
        <w:instrText xml:space="preserve"> PAGEREF _Toc519848998 \h </w:instrText>
      </w:r>
      <w:r>
        <w:fldChar w:fldCharType="separate"/>
      </w:r>
      <w:r>
        <w:t>28</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6.3</w:t>
      </w:r>
      <w:r>
        <w:rPr>
          <w:rFonts w:asciiTheme="minorHAnsi" w:eastAsiaTheme="minorEastAsia" w:hAnsiTheme="minorHAnsi" w:cstheme="minorBidi"/>
          <w:sz w:val="22"/>
          <w:szCs w:val="22"/>
        </w:rPr>
        <w:tab/>
      </w:r>
      <w:r>
        <w:t>Closing the southern end of Bertie Street</w:t>
      </w:r>
      <w:r>
        <w:tab/>
      </w:r>
      <w:r>
        <w:fldChar w:fldCharType="begin"/>
      </w:r>
      <w:r>
        <w:instrText xml:space="preserve"> PAGEREF _Toc519848999 \h </w:instrText>
      </w:r>
      <w:r>
        <w:fldChar w:fldCharType="separate"/>
      </w:r>
      <w:r>
        <w:t>29</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6.4</w:t>
      </w:r>
      <w:r>
        <w:rPr>
          <w:rFonts w:asciiTheme="minorHAnsi" w:eastAsiaTheme="minorEastAsia" w:hAnsiTheme="minorHAnsi" w:cstheme="minorBidi"/>
          <w:sz w:val="22"/>
          <w:szCs w:val="22"/>
        </w:rPr>
        <w:tab/>
      </w:r>
      <w:r>
        <w:t>Modified and additional laneways</w:t>
      </w:r>
      <w:r>
        <w:tab/>
      </w:r>
      <w:r>
        <w:fldChar w:fldCharType="begin"/>
      </w:r>
      <w:r>
        <w:instrText xml:space="preserve"> PAGEREF _Toc519849000 \h </w:instrText>
      </w:r>
      <w:r>
        <w:fldChar w:fldCharType="separate"/>
      </w:r>
      <w:r>
        <w:t>30</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6.5</w:t>
      </w:r>
      <w:r>
        <w:rPr>
          <w:rFonts w:asciiTheme="minorHAnsi" w:eastAsiaTheme="minorEastAsia" w:hAnsiTheme="minorHAnsi" w:cstheme="minorBidi"/>
          <w:sz w:val="22"/>
          <w:szCs w:val="22"/>
        </w:rPr>
        <w:tab/>
      </w:r>
      <w:r>
        <w:t>Finding and recommendations</w:t>
      </w:r>
      <w:r>
        <w:tab/>
      </w:r>
      <w:r>
        <w:fldChar w:fldCharType="begin"/>
      </w:r>
      <w:r>
        <w:instrText xml:space="preserve"> PAGEREF _Toc519849001 \h </w:instrText>
      </w:r>
      <w:r>
        <w:fldChar w:fldCharType="separate"/>
      </w:r>
      <w:r>
        <w:t>31</w:t>
      </w:r>
      <w:r>
        <w:fldChar w:fldCharType="end"/>
      </w:r>
    </w:p>
    <w:p w:rsidR="0054678B" w:rsidRDefault="0054678B">
      <w:pPr>
        <w:pStyle w:val="TOC1"/>
        <w:rPr>
          <w:rFonts w:asciiTheme="minorHAnsi" w:eastAsiaTheme="minorEastAsia" w:hAnsiTheme="minorHAnsi" w:cstheme="minorBidi"/>
          <w:b w:val="0"/>
          <w:sz w:val="22"/>
          <w:szCs w:val="22"/>
        </w:rPr>
      </w:pPr>
      <w:r w:rsidRPr="00207B9E">
        <w:rPr>
          <w:rFonts w:cs="Times New Roman"/>
          <w:color w:val="000000"/>
        </w:rPr>
        <w:t>7</w:t>
      </w:r>
      <w:r>
        <w:rPr>
          <w:rFonts w:asciiTheme="minorHAnsi" w:eastAsiaTheme="minorEastAsia" w:hAnsiTheme="minorHAnsi" w:cstheme="minorBidi"/>
          <w:b w:val="0"/>
          <w:sz w:val="22"/>
          <w:szCs w:val="22"/>
        </w:rPr>
        <w:tab/>
      </w:r>
      <w:r>
        <w:t>Site specific issues</w:t>
      </w:r>
      <w:r>
        <w:tab/>
      </w:r>
      <w:r>
        <w:fldChar w:fldCharType="begin"/>
      </w:r>
      <w:r>
        <w:instrText xml:space="preserve"> PAGEREF _Toc519849002 \h </w:instrText>
      </w:r>
      <w:r>
        <w:fldChar w:fldCharType="separate"/>
      </w:r>
      <w:r>
        <w:t>32</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7.1</w:t>
      </w:r>
      <w:r>
        <w:rPr>
          <w:rFonts w:asciiTheme="minorHAnsi" w:eastAsiaTheme="minorEastAsia" w:hAnsiTheme="minorHAnsi" w:cstheme="minorBidi"/>
          <w:sz w:val="22"/>
          <w:szCs w:val="22"/>
        </w:rPr>
        <w:tab/>
      </w:r>
      <w:r>
        <w:t>277 – 281 Ingles Street, Port Melbourne</w:t>
      </w:r>
      <w:r>
        <w:tab/>
      </w:r>
      <w:r>
        <w:fldChar w:fldCharType="begin"/>
      </w:r>
      <w:r>
        <w:instrText xml:space="preserve"> PAGEREF _Toc519849003 \h </w:instrText>
      </w:r>
      <w:r>
        <w:fldChar w:fldCharType="separate"/>
      </w:r>
      <w:r>
        <w:t>32</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7.2</w:t>
      </w:r>
      <w:r>
        <w:rPr>
          <w:rFonts w:asciiTheme="minorHAnsi" w:eastAsiaTheme="minorEastAsia" w:hAnsiTheme="minorHAnsi" w:cstheme="minorBidi"/>
          <w:sz w:val="22"/>
          <w:szCs w:val="22"/>
        </w:rPr>
        <w:tab/>
      </w:r>
      <w:r>
        <w:t>155, 140 and 61 Bertie Street (S220)</w:t>
      </w:r>
      <w:r>
        <w:tab/>
      </w:r>
      <w:r>
        <w:fldChar w:fldCharType="begin"/>
      </w:r>
      <w:r>
        <w:instrText xml:space="preserve"> PAGEREF _Toc519849004 \h </w:instrText>
      </w:r>
      <w:r>
        <w:fldChar w:fldCharType="separate"/>
      </w:r>
      <w:r>
        <w:t>32</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7.3</w:t>
      </w:r>
      <w:r>
        <w:rPr>
          <w:rFonts w:asciiTheme="minorHAnsi" w:eastAsiaTheme="minorEastAsia" w:hAnsiTheme="minorHAnsi" w:cstheme="minorBidi"/>
          <w:sz w:val="22"/>
          <w:szCs w:val="22"/>
        </w:rPr>
        <w:tab/>
      </w:r>
      <w:r>
        <w:t>Plummer Street/Bridge Street intersection (S180)</w:t>
      </w:r>
      <w:r>
        <w:tab/>
      </w:r>
      <w:r>
        <w:fldChar w:fldCharType="begin"/>
      </w:r>
      <w:r>
        <w:instrText xml:space="preserve"> PAGEREF _Toc519849005 \h </w:instrText>
      </w:r>
      <w:r>
        <w:fldChar w:fldCharType="separate"/>
      </w:r>
      <w:r>
        <w:t>33</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7.4</w:t>
      </w:r>
      <w:r>
        <w:rPr>
          <w:rFonts w:asciiTheme="minorHAnsi" w:eastAsiaTheme="minorEastAsia" w:hAnsiTheme="minorHAnsi" w:cstheme="minorBidi"/>
          <w:sz w:val="22"/>
          <w:szCs w:val="22"/>
        </w:rPr>
        <w:tab/>
      </w:r>
      <w:r>
        <w:t>90 – 96 Johnson Street (S175)</w:t>
      </w:r>
      <w:r>
        <w:tab/>
      </w:r>
      <w:r>
        <w:fldChar w:fldCharType="begin"/>
      </w:r>
      <w:r>
        <w:instrText xml:space="preserve"> PAGEREF _Toc519849006 \h </w:instrText>
      </w:r>
      <w:r>
        <w:fldChar w:fldCharType="separate"/>
      </w:r>
      <w:r>
        <w:t>34</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7.5</w:t>
      </w:r>
      <w:r>
        <w:rPr>
          <w:rFonts w:asciiTheme="minorHAnsi" w:eastAsiaTheme="minorEastAsia" w:hAnsiTheme="minorHAnsi" w:cstheme="minorBidi"/>
          <w:sz w:val="22"/>
          <w:szCs w:val="22"/>
        </w:rPr>
        <w:tab/>
      </w:r>
      <w:r>
        <w:t>60 – 82 Johnson Street (S250)</w:t>
      </w:r>
      <w:r>
        <w:tab/>
      </w:r>
      <w:r>
        <w:fldChar w:fldCharType="begin"/>
      </w:r>
      <w:r>
        <w:instrText xml:space="preserve"> PAGEREF _Toc519849007 \h </w:instrText>
      </w:r>
      <w:r>
        <w:fldChar w:fldCharType="separate"/>
      </w:r>
      <w:r>
        <w:t>35</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7.6</w:t>
      </w:r>
      <w:r>
        <w:rPr>
          <w:rFonts w:asciiTheme="minorHAnsi" w:eastAsiaTheme="minorEastAsia" w:hAnsiTheme="minorHAnsi" w:cstheme="minorBidi"/>
          <w:sz w:val="22"/>
          <w:szCs w:val="22"/>
        </w:rPr>
        <w:tab/>
      </w:r>
      <w:r>
        <w:t>44 – 54 White Street (S141)</w:t>
      </w:r>
      <w:r>
        <w:tab/>
      </w:r>
      <w:r>
        <w:fldChar w:fldCharType="begin"/>
      </w:r>
      <w:r>
        <w:instrText xml:space="preserve"> PAGEREF _Toc519849008 \h </w:instrText>
      </w:r>
      <w:r>
        <w:fldChar w:fldCharType="separate"/>
      </w:r>
      <w:r>
        <w:t>36</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7.7</w:t>
      </w:r>
      <w:r>
        <w:rPr>
          <w:rFonts w:asciiTheme="minorHAnsi" w:eastAsiaTheme="minorEastAsia" w:hAnsiTheme="minorHAnsi" w:cstheme="minorBidi"/>
          <w:sz w:val="22"/>
          <w:szCs w:val="22"/>
        </w:rPr>
        <w:tab/>
      </w:r>
      <w:r>
        <w:t>11 Munro Street and 282, 286, 290 Normanby Road (S169)</w:t>
      </w:r>
      <w:r>
        <w:tab/>
      </w:r>
      <w:r>
        <w:fldChar w:fldCharType="begin"/>
      </w:r>
      <w:r>
        <w:instrText xml:space="preserve"> PAGEREF _Toc519849009 \h </w:instrText>
      </w:r>
      <w:r>
        <w:fldChar w:fldCharType="separate"/>
      </w:r>
      <w:r>
        <w:t>37</w:t>
      </w:r>
      <w:r>
        <w:fldChar w:fldCharType="end"/>
      </w:r>
    </w:p>
    <w:p w:rsidR="0054678B" w:rsidRDefault="0054678B">
      <w:pPr>
        <w:pStyle w:val="TOC2"/>
        <w:rPr>
          <w:rFonts w:asciiTheme="minorHAnsi" w:eastAsiaTheme="minorEastAsia" w:hAnsiTheme="minorHAnsi" w:cstheme="minorBidi"/>
          <w:sz w:val="22"/>
          <w:szCs w:val="22"/>
        </w:rPr>
      </w:pPr>
      <w:r w:rsidRPr="00207B9E">
        <w:rPr>
          <w:color w:val="000000"/>
        </w:rPr>
        <w:t>7.8</w:t>
      </w:r>
      <w:r>
        <w:rPr>
          <w:rFonts w:asciiTheme="minorHAnsi" w:eastAsiaTheme="minorEastAsia" w:hAnsiTheme="minorHAnsi" w:cstheme="minorBidi"/>
          <w:sz w:val="22"/>
          <w:szCs w:val="22"/>
        </w:rPr>
        <w:tab/>
      </w:r>
      <w:r>
        <w:t>118 Bertie Street (S182)</w:t>
      </w:r>
      <w:r>
        <w:tab/>
      </w:r>
      <w:r>
        <w:fldChar w:fldCharType="begin"/>
      </w:r>
      <w:r>
        <w:instrText xml:space="preserve"> PAGEREF _Toc519849010 \h </w:instrText>
      </w:r>
      <w:r>
        <w:fldChar w:fldCharType="separate"/>
      </w:r>
      <w:r>
        <w:t>38</w:t>
      </w:r>
      <w:r>
        <w:fldChar w:fldCharType="end"/>
      </w:r>
    </w:p>
    <w:p w:rsidR="00AA0E65" w:rsidRDefault="000E7757" w:rsidP="004E7C1E">
      <w:pPr>
        <w:pStyle w:val="PPVBody"/>
        <w:rPr>
          <w:noProof/>
        </w:rPr>
      </w:pPr>
      <w:r>
        <w:rPr>
          <w:b/>
          <w:noProof/>
          <w:color w:val="1F497D"/>
        </w:rPr>
        <w:fldChar w:fldCharType="end"/>
      </w:r>
      <w:r w:rsidRPr="007974D0">
        <w:rPr>
          <w:b/>
          <w:noProof/>
        </w:rPr>
        <w:fldChar w:fldCharType="begin"/>
      </w:r>
      <w:r w:rsidR="00223FC9" w:rsidRPr="007974D0">
        <w:rPr>
          <w:b/>
          <w:noProof/>
        </w:rPr>
        <w:instrText xml:space="preserve"> TOC \n \h \z \t "PPV Appendix Heading 1,1" </w:instrText>
      </w:r>
      <w:r w:rsidRPr="007974D0">
        <w:rPr>
          <w:b/>
          <w:noProof/>
        </w:rPr>
        <w:fldChar w:fldCharType="separate"/>
      </w:r>
    </w:p>
    <w:p w:rsidR="00AA0E65" w:rsidRDefault="00CD370E">
      <w:pPr>
        <w:pStyle w:val="TOC1"/>
        <w:tabs>
          <w:tab w:val="left" w:pos="1560"/>
        </w:tabs>
        <w:rPr>
          <w:rFonts w:asciiTheme="minorHAnsi" w:eastAsiaTheme="minorEastAsia" w:hAnsiTheme="minorHAnsi" w:cstheme="minorBidi"/>
          <w:b w:val="0"/>
          <w:sz w:val="22"/>
          <w:szCs w:val="22"/>
        </w:rPr>
      </w:pPr>
      <w:hyperlink w:anchor="_Toc519698882" w:history="1">
        <w:r w:rsidR="004B5700">
          <w:rPr>
            <w:rStyle w:val="Hyperlink"/>
          </w:rPr>
          <w:t>Appendix A</w:t>
        </w:r>
        <w:r w:rsidR="00AA0E65">
          <w:rPr>
            <w:rFonts w:asciiTheme="minorHAnsi" w:eastAsiaTheme="minorEastAsia" w:hAnsiTheme="minorHAnsi" w:cstheme="minorBidi"/>
            <w:b w:val="0"/>
            <w:sz w:val="22"/>
            <w:szCs w:val="22"/>
          </w:rPr>
          <w:tab/>
        </w:r>
        <w:r w:rsidR="00AA0E65" w:rsidRPr="009D0A3E">
          <w:rPr>
            <w:rStyle w:val="Hyperlink"/>
          </w:rPr>
          <w:t>Document list</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7" w:name="_Toc212009244"/>
      <w:bookmarkStart w:id="8" w:name="_Toc105479961"/>
    </w:p>
    <w:p w:rsidR="007C7956" w:rsidRPr="005D5117" w:rsidRDefault="007C7956" w:rsidP="00681DCE">
      <w:pPr>
        <w:pStyle w:val="ZZPPVContentsPage"/>
        <w:rPr>
          <w:color w:val="auto"/>
          <w:sz w:val="32"/>
          <w:szCs w:val="32"/>
        </w:rPr>
      </w:pPr>
      <w:r w:rsidRPr="005D5117">
        <w:rPr>
          <w:color w:val="auto"/>
          <w:sz w:val="32"/>
          <w:szCs w:val="32"/>
        </w:rPr>
        <w:t>List of Tables</w:t>
      </w:r>
    </w:p>
    <w:p w:rsidR="0054678B" w:rsidRDefault="007C7956" w:rsidP="00FD5693">
      <w:pPr>
        <w:pStyle w:val="ZZPPVContentsPageNo"/>
        <w:spacing w:before="0"/>
        <w:rPr>
          <w:noProof/>
        </w:rPr>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rsidR="0054678B" w:rsidRDefault="00CD370E">
      <w:pPr>
        <w:pStyle w:val="TableofFigures"/>
        <w:rPr>
          <w:rFonts w:asciiTheme="minorHAnsi" w:eastAsiaTheme="minorEastAsia" w:hAnsiTheme="minorHAnsi" w:cstheme="minorBidi"/>
          <w:noProof/>
          <w:sz w:val="22"/>
          <w:szCs w:val="22"/>
        </w:rPr>
      </w:pPr>
      <w:hyperlink w:anchor="_Toc519849011" w:history="1">
        <w:r w:rsidR="0054678B" w:rsidRPr="008A11E5">
          <w:rPr>
            <w:rStyle w:val="Hyperlink"/>
            <w:rFonts w:eastAsia="Dotum"/>
            <w:noProof/>
          </w:rPr>
          <w:t>Table 1:</w:t>
        </w:r>
        <w:r w:rsidR="0054678B">
          <w:rPr>
            <w:rFonts w:asciiTheme="minorHAnsi" w:eastAsiaTheme="minorEastAsia" w:hAnsiTheme="minorHAnsi" w:cstheme="minorBidi"/>
            <w:noProof/>
            <w:sz w:val="22"/>
            <w:szCs w:val="22"/>
          </w:rPr>
          <w:tab/>
        </w:r>
        <w:r w:rsidR="0054678B" w:rsidRPr="008A11E5">
          <w:rPr>
            <w:rStyle w:val="Hyperlink"/>
            <w:rFonts w:eastAsia="Dotum"/>
            <w:noProof/>
          </w:rPr>
          <w:t>Interim built form controls (GC50)</w:t>
        </w:r>
        <w:r w:rsidR="0054678B">
          <w:rPr>
            <w:noProof/>
            <w:webHidden/>
          </w:rPr>
          <w:tab/>
        </w:r>
        <w:r w:rsidR="0054678B">
          <w:rPr>
            <w:noProof/>
            <w:webHidden/>
          </w:rPr>
          <w:fldChar w:fldCharType="begin"/>
        </w:r>
        <w:r w:rsidR="0054678B">
          <w:rPr>
            <w:noProof/>
            <w:webHidden/>
          </w:rPr>
          <w:instrText xml:space="preserve"> PAGEREF _Toc519849011 \h </w:instrText>
        </w:r>
        <w:r w:rsidR="0054678B">
          <w:rPr>
            <w:noProof/>
            <w:webHidden/>
          </w:rPr>
        </w:r>
        <w:r w:rsidR="0054678B">
          <w:rPr>
            <w:noProof/>
            <w:webHidden/>
          </w:rPr>
          <w:fldChar w:fldCharType="separate"/>
        </w:r>
        <w:r w:rsidR="0054678B">
          <w:rPr>
            <w:noProof/>
            <w:webHidden/>
          </w:rPr>
          <w:t>2</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2" w:history="1">
        <w:r w:rsidR="0054678B" w:rsidRPr="008A11E5">
          <w:rPr>
            <w:rStyle w:val="Hyperlink"/>
            <w:rFonts w:eastAsia="Dotum"/>
            <w:noProof/>
          </w:rPr>
          <w:t>Table 2:</w:t>
        </w:r>
        <w:r w:rsidR="0054678B">
          <w:rPr>
            <w:rFonts w:asciiTheme="minorHAnsi" w:eastAsiaTheme="minorEastAsia" w:hAnsiTheme="minorHAnsi" w:cstheme="minorBidi"/>
            <w:noProof/>
            <w:sz w:val="22"/>
            <w:szCs w:val="22"/>
          </w:rPr>
          <w:tab/>
        </w:r>
        <w:r w:rsidR="0054678B" w:rsidRPr="008A11E5">
          <w:rPr>
            <w:rStyle w:val="Hyperlink"/>
            <w:rFonts w:eastAsia="Dotum"/>
            <w:noProof/>
          </w:rPr>
          <w:t>Current Permits</w:t>
        </w:r>
        <w:r w:rsidR="0054678B">
          <w:rPr>
            <w:noProof/>
            <w:webHidden/>
          </w:rPr>
          <w:tab/>
        </w:r>
        <w:r w:rsidR="0054678B">
          <w:rPr>
            <w:noProof/>
            <w:webHidden/>
          </w:rPr>
          <w:fldChar w:fldCharType="begin"/>
        </w:r>
        <w:r w:rsidR="0054678B">
          <w:rPr>
            <w:noProof/>
            <w:webHidden/>
          </w:rPr>
          <w:instrText xml:space="preserve"> PAGEREF _Toc519849012 \h </w:instrText>
        </w:r>
        <w:r w:rsidR="0054678B">
          <w:rPr>
            <w:noProof/>
            <w:webHidden/>
          </w:rPr>
        </w:r>
        <w:r w:rsidR="0054678B">
          <w:rPr>
            <w:noProof/>
            <w:webHidden/>
          </w:rPr>
          <w:fldChar w:fldCharType="separate"/>
        </w:r>
        <w:r w:rsidR="0054678B">
          <w:rPr>
            <w:noProof/>
            <w:webHidden/>
          </w:rPr>
          <w:t>3</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3" w:history="1">
        <w:r w:rsidR="0054678B" w:rsidRPr="008A11E5">
          <w:rPr>
            <w:rStyle w:val="Hyperlink"/>
            <w:rFonts w:eastAsia="Dotum"/>
            <w:noProof/>
          </w:rPr>
          <w:t>Table 3:</w:t>
        </w:r>
        <w:r w:rsidR="0054678B">
          <w:rPr>
            <w:rFonts w:asciiTheme="minorHAnsi" w:eastAsiaTheme="minorEastAsia" w:hAnsiTheme="minorHAnsi" w:cstheme="minorBidi"/>
            <w:noProof/>
            <w:sz w:val="22"/>
            <w:szCs w:val="22"/>
          </w:rPr>
          <w:tab/>
        </w:r>
        <w:r w:rsidR="0054678B" w:rsidRPr="008A11E5">
          <w:rPr>
            <w:rStyle w:val="Hyperlink"/>
            <w:rFonts w:eastAsia="Dotum"/>
            <w:noProof/>
          </w:rPr>
          <w:t>Permit Applications</w:t>
        </w:r>
        <w:r w:rsidR="0054678B">
          <w:rPr>
            <w:noProof/>
            <w:webHidden/>
          </w:rPr>
          <w:tab/>
        </w:r>
        <w:r w:rsidR="0054678B">
          <w:rPr>
            <w:noProof/>
            <w:webHidden/>
          </w:rPr>
          <w:fldChar w:fldCharType="begin"/>
        </w:r>
        <w:r w:rsidR="0054678B">
          <w:rPr>
            <w:noProof/>
            <w:webHidden/>
          </w:rPr>
          <w:instrText xml:space="preserve"> PAGEREF _Toc519849013 \h </w:instrText>
        </w:r>
        <w:r w:rsidR="0054678B">
          <w:rPr>
            <w:noProof/>
            <w:webHidden/>
          </w:rPr>
        </w:r>
        <w:r w:rsidR="0054678B">
          <w:rPr>
            <w:noProof/>
            <w:webHidden/>
          </w:rPr>
          <w:fldChar w:fldCharType="separate"/>
        </w:r>
        <w:r w:rsidR="0054678B">
          <w:rPr>
            <w:noProof/>
            <w:webHidden/>
          </w:rPr>
          <w:t>3</w:t>
        </w:r>
        <w:r w:rsidR="0054678B">
          <w:rPr>
            <w:noProof/>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54678B" w:rsidRDefault="00263B06">
      <w:pPr>
        <w:pStyle w:val="TableofFigures"/>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19849014" w:history="1">
        <w:r w:rsidR="0054678B" w:rsidRPr="00CB29C2">
          <w:rPr>
            <w:rStyle w:val="Hyperlink"/>
            <w:rFonts w:eastAsia="Dotum"/>
            <w:noProof/>
          </w:rPr>
          <w:t>Figure 1:</w:t>
        </w:r>
        <w:r w:rsidR="0054678B">
          <w:rPr>
            <w:rFonts w:asciiTheme="minorHAnsi" w:eastAsiaTheme="minorEastAsia" w:hAnsiTheme="minorHAnsi" w:cstheme="minorBidi"/>
            <w:noProof/>
            <w:sz w:val="22"/>
            <w:szCs w:val="22"/>
          </w:rPr>
          <w:tab/>
        </w:r>
        <w:r w:rsidR="0054678B" w:rsidRPr="00CB29C2">
          <w:rPr>
            <w:rStyle w:val="Hyperlink"/>
            <w:rFonts w:eastAsia="Dotum"/>
            <w:noProof/>
          </w:rPr>
          <w:t>The subject land</w:t>
        </w:r>
        <w:r w:rsidR="0054678B">
          <w:rPr>
            <w:noProof/>
            <w:webHidden/>
          </w:rPr>
          <w:tab/>
        </w:r>
        <w:r w:rsidR="0054678B">
          <w:rPr>
            <w:noProof/>
            <w:webHidden/>
          </w:rPr>
          <w:fldChar w:fldCharType="begin"/>
        </w:r>
        <w:r w:rsidR="0054678B">
          <w:rPr>
            <w:noProof/>
            <w:webHidden/>
          </w:rPr>
          <w:instrText xml:space="preserve"> PAGEREF _Toc519849014 \h </w:instrText>
        </w:r>
        <w:r w:rsidR="0054678B">
          <w:rPr>
            <w:noProof/>
            <w:webHidden/>
          </w:rPr>
        </w:r>
        <w:r w:rsidR="0054678B">
          <w:rPr>
            <w:noProof/>
            <w:webHidden/>
          </w:rPr>
          <w:fldChar w:fldCharType="separate"/>
        </w:r>
        <w:r w:rsidR="0054678B">
          <w:rPr>
            <w:noProof/>
            <w:webHidden/>
          </w:rPr>
          <w:t>1</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5" w:history="1">
        <w:r w:rsidR="0054678B" w:rsidRPr="00CB29C2">
          <w:rPr>
            <w:rStyle w:val="Hyperlink"/>
            <w:rFonts w:eastAsia="Dotum"/>
            <w:noProof/>
          </w:rPr>
          <w:t>Figure 2:</w:t>
        </w:r>
        <w:r w:rsidR="0054678B">
          <w:rPr>
            <w:rFonts w:asciiTheme="minorHAnsi" w:eastAsiaTheme="minorEastAsia" w:hAnsiTheme="minorHAnsi" w:cstheme="minorBidi"/>
            <w:noProof/>
            <w:sz w:val="22"/>
            <w:szCs w:val="22"/>
          </w:rPr>
          <w:tab/>
        </w:r>
        <w:r w:rsidR="0054678B" w:rsidRPr="00CB29C2">
          <w:rPr>
            <w:rStyle w:val="Hyperlink"/>
            <w:rFonts w:eastAsia="Dotum"/>
            <w:noProof/>
          </w:rPr>
          <w:t>Design and Development Overlay, Schedule 30</w:t>
        </w:r>
        <w:r w:rsidR="0054678B">
          <w:rPr>
            <w:noProof/>
            <w:webHidden/>
          </w:rPr>
          <w:tab/>
        </w:r>
        <w:r w:rsidR="0054678B">
          <w:rPr>
            <w:noProof/>
            <w:webHidden/>
          </w:rPr>
          <w:fldChar w:fldCharType="begin"/>
        </w:r>
        <w:r w:rsidR="0054678B">
          <w:rPr>
            <w:noProof/>
            <w:webHidden/>
          </w:rPr>
          <w:instrText xml:space="preserve"> PAGEREF _Toc519849015 \h </w:instrText>
        </w:r>
        <w:r w:rsidR="0054678B">
          <w:rPr>
            <w:noProof/>
            <w:webHidden/>
          </w:rPr>
        </w:r>
        <w:r w:rsidR="0054678B">
          <w:rPr>
            <w:noProof/>
            <w:webHidden/>
          </w:rPr>
          <w:fldChar w:fldCharType="separate"/>
        </w:r>
        <w:r w:rsidR="0054678B">
          <w:rPr>
            <w:noProof/>
            <w:webHidden/>
          </w:rPr>
          <w:t>2</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6" w:history="1">
        <w:r w:rsidR="0054678B" w:rsidRPr="00CB29C2">
          <w:rPr>
            <w:rStyle w:val="Hyperlink"/>
            <w:rFonts w:eastAsia="Dotum"/>
            <w:noProof/>
          </w:rPr>
          <w:t>Figure 3:</w:t>
        </w:r>
        <w:r w:rsidR="0054678B">
          <w:rPr>
            <w:rFonts w:asciiTheme="minorHAnsi" w:eastAsiaTheme="minorEastAsia" w:hAnsiTheme="minorHAnsi" w:cstheme="minorBidi"/>
            <w:noProof/>
            <w:sz w:val="22"/>
            <w:szCs w:val="22"/>
          </w:rPr>
          <w:tab/>
        </w:r>
        <w:r w:rsidR="0054678B" w:rsidRPr="00CB29C2">
          <w:rPr>
            <w:rStyle w:val="Hyperlink"/>
            <w:rFonts w:eastAsia="Dotum"/>
            <w:noProof/>
          </w:rPr>
          <w:t>Proposed urban structure – Sandridge Precinct</w:t>
        </w:r>
        <w:r w:rsidR="0054678B">
          <w:rPr>
            <w:noProof/>
            <w:webHidden/>
          </w:rPr>
          <w:tab/>
        </w:r>
        <w:r w:rsidR="0054678B">
          <w:rPr>
            <w:noProof/>
            <w:webHidden/>
          </w:rPr>
          <w:fldChar w:fldCharType="begin"/>
        </w:r>
        <w:r w:rsidR="0054678B">
          <w:rPr>
            <w:noProof/>
            <w:webHidden/>
          </w:rPr>
          <w:instrText xml:space="preserve"> PAGEREF _Toc519849016 \h </w:instrText>
        </w:r>
        <w:r w:rsidR="0054678B">
          <w:rPr>
            <w:noProof/>
            <w:webHidden/>
          </w:rPr>
        </w:r>
        <w:r w:rsidR="0054678B">
          <w:rPr>
            <w:noProof/>
            <w:webHidden/>
          </w:rPr>
          <w:fldChar w:fldCharType="separate"/>
        </w:r>
        <w:r w:rsidR="0054678B">
          <w:rPr>
            <w:noProof/>
            <w:webHidden/>
          </w:rPr>
          <w:t>5</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7" w:history="1">
        <w:r w:rsidR="0054678B" w:rsidRPr="00CB29C2">
          <w:rPr>
            <w:rStyle w:val="Hyperlink"/>
            <w:rFonts w:eastAsia="Dotum"/>
            <w:noProof/>
          </w:rPr>
          <w:t>Figure 4:</w:t>
        </w:r>
        <w:r w:rsidR="0054678B">
          <w:rPr>
            <w:rFonts w:asciiTheme="minorHAnsi" w:eastAsiaTheme="minorEastAsia" w:hAnsiTheme="minorHAnsi" w:cstheme="minorBidi"/>
            <w:noProof/>
            <w:sz w:val="22"/>
            <w:szCs w:val="22"/>
          </w:rPr>
          <w:tab/>
        </w:r>
        <w:r w:rsidR="0054678B" w:rsidRPr="00CB29C2">
          <w:rPr>
            <w:rStyle w:val="Hyperlink"/>
            <w:rFonts w:eastAsia="Dotum"/>
            <w:noProof/>
          </w:rPr>
          <w:t>Sandridge subprecinct map</w:t>
        </w:r>
        <w:r w:rsidR="0054678B">
          <w:rPr>
            <w:noProof/>
            <w:webHidden/>
          </w:rPr>
          <w:tab/>
        </w:r>
        <w:r w:rsidR="0054678B">
          <w:rPr>
            <w:noProof/>
            <w:webHidden/>
          </w:rPr>
          <w:fldChar w:fldCharType="begin"/>
        </w:r>
        <w:r w:rsidR="0054678B">
          <w:rPr>
            <w:noProof/>
            <w:webHidden/>
          </w:rPr>
          <w:instrText xml:space="preserve"> PAGEREF _Toc519849017 \h </w:instrText>
        </w:r>
        <w:r w:rsidR="0054678B">
          <w:rPr>
            <w:noProof/>
            <w:webHidden/>
          </w:rPr>
        </w:r>
        <w:r w:rsidR="0054678B">
          <w:rPr>
            <w:noProof/>
            <w:webHidden/>
          </w:rPr>
          <w:fldChar w:fldCharType="separate"/>
        </w:r>
        <w:r w:rsidR="0054678B">
          <w:rPr>
            <w:noProof/>
            <w:webHidden/>
          </w:rPr>
          <w:t>7</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8" w:history="1">
        <w:r w:rsidR="0054678B" w:rsidRPr="00CB29C2">
          <w:rPr>
            <w:rStyle w:val="Hyperlink"/>
            <w:rFonts w:eastAsia="Dotum"/>
            <w:noProof/>
          </w:rPr>
          <w:t>Figure 5:</w:t>
        </w:r>
        <w:r w:rsidR="0054678B">
          <w:rPr>
            <w:rFonts w:asciiTheme="minorHAnsi" w:eastAsiaTheme="minorEastAsia" w:hAnsiTheme="minorHAnsi" w:cstheme="minorBidi"/>
            <w:noProof/>
            <w:sz w:val="22"/>
            <w:szCs w:val="22"/>
          </w:rPr>
          <w:tab/>
        </w:r>
        <w:r w:rsidR="0054678B" w:rsidRPr="00CB29C2">
          <w:rPr>
            <w:rStyle w:val="Hyperlink"/>
            <w:rFonts w:eastAsia="Dotum"/>
            <w:noProof/>
          </w:rPr>
          <w:t>Proposed building heights in Sandridge</w:t>
        </w:r>
        <w:r w:rsidR="0054678B">
          <w:rPr>
            <w:noProof/>
            <w:webHidden/>
          </w:rPr>
          <w:tab/>
        </w:r>
        <w:r w:rsidR="0054678B">
          <w:rPr>
            <w:noProof/>
            <w:webHidden/>
          </w:rPr>
          <w:fldChar w:fldCharType="begin"/>
        </w:r>
        <w:r w:rsidR="0054678B">
          <w:rPr>
            <w:noProof/>
            <w:webHidden/>
          </w:rPr>
          <w:instrText xml:space="preserve"> PAGEREF _Toc519849018 \h </w:instrText>
        </w:r>
        <w:r w:rsidR="0054678B">
          <w:rPr>
            <w:noProof/>
            <w:webHidden/>
          </w:rPr>
        </w:r>
        <w:r w:rsidR="0054678B">
          <w:rPr>
            <w:noProof/>
            <w:webHidden/>
          </w:rPr>
          <w:fldChar w:fldCharType="separate"/>
        </w:r>
        <w:r w:rsidR="0054678B">
          <w:rPr>
            <w:noProof/>
            <w:webHidden/>
          </w:rPr>
          <w:t>8</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19" w:history="1">
        <w:r w:rsidR="0054678B" w:rsidRPr="00CB29C2">
          <w:rPr>
            <w:rStyle w:val="Hyperlink"/>
            <w:rFonts w:eastAsia="Dotum"/>
            <w:noProof/>
          </w:rPr>
          <w:t>Figure 6:</w:t>
        </w:r>
        <w:r w:rsidR="0054678B">
          <w:rPr>
            <w:rFonts w:asciiTheme="minorHAnsi" w:eastAsiaTheme="minorEastAsia" w:hAnsiTheme="minorHAnsi" w:cstheme="minorBidi"/>
            <w:noProof/>
            <w:sz w:val="22"/>
            <w:szCs w:val="22"/>
          </w:rPr>
          <w:tab/>
        </w:r>
        <w:r w:rsidR="0054678B" w:rsidRPr="00CB29C2">
          <w:rPr>
            <w:rStyle w:val="Hyperlink"/>
            <w:rFonts w:eastAsia="Dotum"/>
            <w:noProof/>
          </w:rPr>
          <w:t>Port Phillip’s proposed urban structure</w:t>
        </w:r>
        <w:r w:rsidR="0054678B">
          <w:rPr>
            <w:noProof/>
            <w:webHidden/>
          </w:rPr>
          <w:tab/>
        </w:r>
        <w:r w:rsidR="0054678B">
          <w:rPr>
            <w:noProof/>
            <w:webHidden/>
          </w:rPr>
          <w:fldChar w:fldCharType="begin"/>
        </w:r>
        <w:r w:rsidR="0054678B">
          <w:rPr>
            <w:noProof/>
            <w:webHidden/>
          </w:rPr>
          <w:instrText xml:space="preserve"> PAGEREF _Toc519849019 \h </w:instrText>
        </w:r>
        <w:r w:rsidR="0054678B">
          <w:rPr>
            <w:noProof/>
            <w:webHidden/>
          </w:rPr>
        </w:r>
        <w:r w:rsidR="0054678B">
          <w:rPr>
            <w:noProof/>
            <w:webHidden/>
          </w:rPr>
          <w:fldChar w:fldCharType="separate"/>
        </w:r>
        <w:r w:rsidR="0054678B">
          <w:rPr>
            <w:noProof/>
            <w:webHidden/>
          </w:rPr>
          <w:t>11</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20" w:history="1">
        <w:r w:rsidR="0054678B" w:rsidRPr="00CB29C2">
          <w:rPr>
            <w:rStyle w:val="Hyperlink"/>
            <w:rFonts w:eastAsia="Dotum"/>
            <w:noProof/>
          </w:rPr>
          <w:t>Figure 7:</w:t>
        </w:r>
        <w:r w:rsidR="0054678B">
          <w:rPr>
            <w:rFonts w:asciiTheme="minorHAnsi" w:eastAsiaTheme="minorEastAsia" w:hAnsiTheme="minorHAnsi" w:cstheme="minorBidi"/>
            <w:noProof/>
            <w:sz w:val="22"/>
            <w:szCs w:val="22"/>
          </w:rPr>
          <w:tab/>
        </w:r>
        <w:r w:rsidR="0054678B" w:rsidRPr="00CB29C2">
          <w:rPr>
            <w:rStyle w:val="Hyperlink"/>
            <w:rFonts w:eastAsia="Dotum"/>
            <w:noProof/>
          </w:rPr>
          <w:t>Proposed open space</w:t>
        </w:r>
        <w:r w:rsidR="0054678B">
          <w:rPr>
            <w:noProof/>
            <w:webHidden/>
          </w:rPr>
          <w:tab/>
        </w:r>
        <w:r w:rsidR="0054678B">
          <w:rPr>
            <w:noProof/>
            <w:webHidden/>
          </w:rPr>
          <w:fldChar w:fldCharType="begin"/>
        </w:r>
        <w:r w:rsidR="0054678B">
          <w:rPr>
            <w:noProof/>
            <w:webHidden/>
          </w:rPr>
          <w:instrText xml:space="preserve"> PAGEREF _Toc519849020 \h </w:instrText>
        </w:r>
        <w:r w:rsidR="0054678B">
          <w:rPr>
            <w:noProof/>
            <w:webHidden/>
          </w:rPr>
        </w:r>
        <w:r w:rsidR="0054678B">
          <w:rPr>
            <w:noProof/>
            <w:webHidden/>
          </w:rPr>
          <w:fldChar w:fldCharType="separate"/>
        </w:r>
        <w:r w:rsidR="0054678B">
          <w:rPr>
            <w:noProof/>
            <w:webHidden/>
          </w:rPr>
          <w:t>19</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21" w:history="1">
        <w:r w:rsidR="0054678B" w:rsidRPr="00CB29C2">
          <w:rPr>
            <w:rStyle w:val="Hyperlink"/>
            <w:rFonts w:eastAsia="Dotum"/>
            <w:noProof/>
          </w:rPr>
          <w:t>Figure 8:</w:t>
        </w:r>
        <w:r w:rsidR="0054678B">
          <w:rPr>
            <w:rFonts w:asciiTheme="minorHAnsi" w:eastAsiaTheme="minorEastAsia" w:hAnsiTheme="minorHAnsi" w:cstheme="minorBidi"/>
            <w:noProof/>
            <w:sz w:val="22"/>
            <w:szCs w:val="22"/>
          </w:rPr>
          <w:tab/>
        </w:r>
        <w:r w:rsidR="0054678B" w:rsidRPr="00CB29C2">
          <w:rPr>
            <w:rStyle w:val="Hyperlink"/>
            <w:rFonts w:eastAsia="Dotum"/>
            <w:noProof/>
          </w:rPr>
          <w:t>Investigation areas for hubs</w:t>
        </w:r>
        <w:r w:rsidR="0054678B">
          <w:rPr>
            <w:noProof/>
            <w:webHidden/>
          </w:rPr>
          <w:tab/>
        </w:r>
        <w:r w:rsidR="0054678B">
          <w:rPr>
            <w:noProof/>
            <w:webHidden/>
          </w:rPr>
          <w:fldChar w:fldCharType="begin"/>
        </w:r>
        <w:r w:rsidR="0054678B">
          <w:rPr>
            <w:noProof/>
            <w:webHidden/>
          </w:rPr>
          <w:instrText xml:space="preserve"> PAGEREF _Toc519849021 \h </w:instrText>
        </w:r>
        <w:r w:rsidR="0054678B">
          <w:rPr>
            <w:noProof/>
            <w:webHidden/>
          </w:rPr>
        </w:r>
        <w:r w:rsidR="0054678B">
          <w:rPr>
            <w:noProof/>
            <w:webHidden/>
          </w:rPr>
          <w:fldChar w:fldCharType="separate"/>
        </w:r>
        <w:r w:rsidR="0054678B">
          <w:rPr>
            <w:noProof/>
            <w:webHidden/>
          </w:rPr>
          <w:t>25</w:t>
        </w:r>
        <w:r w:rsidR="0054678B">
          <w:rPr>
            <w:noProof/>
            <w:webHidden/>
          </w:rPr>
          <w:fldChar w:fldCharType="end"/>
        </w:r>
      </w:hyperlink>
    </w:p>
    <w:p w:rsidR="0054678B" w:rsidRDefault="00CD370E">
      <w:pPr>
        <w:pStyle w:val="TableofFigures"/>
        <w:rPr>
          <w:rFonts w:asciiTheme="minorHAnsi" w:eastAsiaTheme="minorEastAsia" w:hAnsiTheme="minorHAnsi" w:cstheme="minorBidi"/>
          <w:noProof/>
          <w:sz w:val="22"/>
          <w:szCs w:val="22"/>
        </w:rPr>
      </w:pPr>
      <w:hyperlink w:anchor="_Toc519849022" w:history="1">
        <w:r w:rsidR="0054678B" w:rsidRPr="00CB29C2">
          <w:rPr>
            <w:rStyle w:val="Hyperlink"/>
            <w:rFonts w:eastAsia="Dotum"/>
            <w:noProof/>
          </w:rPr>
          <w:t>Figure 9:</w:t>
        </w:r>
        <w:r w:rsidR="0054678B">
          <w:rPr>
            <w:rFonts w:asciiTheme="minorHAnsi" w:eastAsiaTheme="minorEastAsia" w:hAnsiTheme="minorHAnsi" w:cstheme="minorBidi"/>
            <w:noProof/>
            <w:sz w:val="22"/>
            <w:szCs w:val="22"/>
          </w:rPr>
          <w:tab/>
        </w:r>
        <w:r w:rsidR="0054678B" w:rsidRPr="00CB29C2">
          <w:rPr>
            <w:rStyle w:val="Hyperlink"/>
            <w:rFonts w:eastAsia="Dotum"/>
            <w:noProof/>
          </w:rPr>
          <w:t>New road suggested by Port Philip</w:t>
        </w:r>
        <w:r w:rsidR="0054678B">
          <w:rPr>
            <w:noProof/>
            <w:webHidden/>
          </w:rPr>
          <w:tab/>
        </w:r>
        <w:r w:rsidR="0054678B">
          <w:rPr>
            <w:noProof/>
            <w:webHidden/>
          </w:rPr>
          <w:fldChar w:fldCharType="begin"/>
        </w:r>
        <w:r w:rsidR="0054678B">
          <w:rPr>
            <w:noProof/>
            <w:webHidden/>
          </w:rPr>
          <w:instrText xml:space="preserve"> PAGEREF _Toc519849022 \h </w:instrText>
        </w:r>
        <w:r w:rsidR="0054678B">
          <w:rPr>
            <w:noProof/>
            <w:webHidden/>
          </w:rPr>
        </w:r>
        <w:r w:rsidR="0054678B">
          <w:rPr>
            <w:noProof/>
            <w:webHidden/>
          </w:rPr>
          <w:fldChar w:fldCharType="separate"/>
        </w:r>
        <w:r w:rsidR="0054678B">
          <w:rPr>
            <w:noProof/>
            <w:webHidden/>
          </w:rPr>
          <w:t>29</w:t>
        </w:r>
        <w:r w:rsidR="0054678B">
          <w:rPr>
            <w:noProof/>
            <w:webHidden/>
          </w:rPr>
          <w:fldChar w:fldCharType="end"/>
        </w:r>
      </w:hyperlink>
    </w:p>
    <w:p w:rsidR="0054678B" w:rsidRDefault="004B5700">
      <w:pPr>
        <w:pStyle w:val="TableofFigures"/>
        <w:rPr>
          <w:rFonts w:asciiTheme="minorHAnsi" w:eastAsiaTheme="minorEastAsia" w:hAnsiTheme="minorHAnsi" w:cstheme="minorBidi"/>
          <w:noProof/>
          <w:sz w:val="22"/>
          <w:szCs w:val="22"/>
        </w:rPr>
      </w:pPr>
      <w:hyperlink w:anchor="_Toc519849023" w:history="1">
        <w:r w:rsidR="0054678B" w:rsidRPr="00CB29C2">
          <w:rPr>
            <w:rStyle w:val="Hyperlink"/>
            <w:rFonts w:eastAsia="Dotum"/>
            <w:noProof/>
          </w:rPr>
          <w:t>Figure 10</w:t>
        </w:r>
        <w:r>
          <w:rPr>
            <w:rStyle w:val="Hyperlink"/>
            <w:rFonts w:eastAsia="Dotum"/>
            <w:noProof/>
          </w:rPr>
          <w:t>:</w:t>
        </w:r>
        <w:r w:rsidR="0054678B">
          <w:rPr>
            <w:rFonts w:asciiTheme="minorHAnsi" w:eastAsiaTheme="minorEastAsia" w:hAnsiTheme="minorHAnsi" w:cstheme="minorBidi"/>
            <w:noProof/>
            <w:sz w:val="22"/>
            <w:szCs w:val="22"/>
          </w:rPr>
          <w:tab/>
        </w:r>
        <w:r w:rsidR="0054678B" w:rsidRPr="00CB29C2">
          <w:rPr>
            <w:rStyle w:val="Hyperlink"/>
            <w:rFonts w:eastAsia="Dotum"/>
            <w:noProof/>
          </w:rPr>
          <w:t>118 Bertie Street, Port Melbourne – Alternative laneway locations</w:t>
        </w:r>
        <w:r w:rsidR="0054678B">
          <w:rPr>
            <w:noProof/>
            <w:webHidden/>
          </w:rPr>
          <w:tab/>
        </w:r>
        <w:r w:rsidR="0054678B">
          <w:rPr>
            <w:noProof/>
            <w:webHidden/>
          </w:rPr>
          <w:fldChar w:fldCharType="begin"/>
        </w:r>
        <w:r w:rsidR="0054678B">
          <w:rPr>
            <w:noProof/>
            <w:webHidden/>
          </w:rPr>
          <w:instrText xml:space="preserve"> PAGEREF _Toc519849023 \h </w:instrText>
        </w:r>
        <w:r w:rsidR="0054678B">
          <w:rPr>
            <w:noProof/>
            <w:webHidden/>
          </w:rPr>
        </w:r>
        <w:r w:rsidR="0054678B">
          <w:rPr>
            <w:noProof/>
            <w:webHidden/>
          </w:rPr>
          <w:fldChar w:fldCharType="separate"/>
        </w:r>
        <w:r w:rsidR="0054678B">
          <w:rPr>
            <w:noProof/>
            <w:webHidden/>
          </w:rPr>
          <w:t>39</w:t>
        </w:r>
        <w:r w:rsidR="0054678B">
          <w:rPr>
            <w:noProof/>
            <w:webHidden/>
          </w:rPr>
          <w:fldChar w:fldCharType="end"/>
        </w:r>
      </w:hyperlink>
    </w:p>
    <w:p w:rsidR="007C7956" w:rsidRDefault="00263B06" w:rsidP="00F236E4">
      <w:pPr>
        <w:pStyle w:val="TableofFigures"/>
        <w:rPr>
          <w:rStyle w:val="PPVBodyChar"/>
          <w:rFonts w:eastAsia="Dotum"/>
        </w:rPr>
      </w:pPr>
      <w:r>
        <w:rPr>
          <w:rStyle w:val="PPVBodyChar"/>
          <w:rFonts w:eastAsia="Dotum"/>
        </w:rPr>
        <w:fldChar w:fldCharType="end"/>
      </w:r>
    </w:p>
    <w:p w:rsidR="002F0ACC" w:rsidRPr="006F7585" w:rsidRDefault="00BC30AF" w:rsidP="006F7585">
      <w:pPr>
        <w:spacing w:before="0"/>
        <w:jc w:val="left"/>
        <w:rPr>
          <w:b/>
          <w:sz w:val="32"/>
          <w:szCs w:val="32"/>
        </w:rPr>
      </w:pPr>
      <w:r>
        <w:rPr>
          <w:b/>
          <w:sz w:val="32"/>
          <w:szCs w:val="32"/>
        </w:rPr>
        <w:br w:type="page"/>
      </w:r>
    </w:p>
    <w:p w:rsidR="00245F42" w:rsidRPr="004A17B0" w:rsidRDefault="00245F42" w:rsidP="000C5DD2">
      <w:pPr>
        <w:pStyle w:val="PPVBody"/>
        <w:sectPr w:rsidR="00245F42" w:rsidRPr="004A17B0" w:rsidSect="00454572">
          <w:headerReference w:type="default" r:id="rId22"/>
          <w:footerReference w:type="default" r:id="rId23"/>
          <w:pgSz w:w="11906" w:h="16838"/>
          <w:pgMar w:top="1701" w:right="1418" w:bottom="1134" w:left="1418" w:header="720" w:footer="448" w:gutter="0"/>
          <w:pgNumType w:fmt="lowerRoman" w:start="1"/>
          <w:cols w:space="708"/>
          <w:docGrid w:linePitch="360"/>
        </w:sectPr>
      </w:pPr>
    </w:p>
    <w:bookmarkEnd w:id="7"/>
    <w:bookmarkEnd w:id="8"/>
    <w:p w:rsidR="00607994" w:rsidRDefault="00F3421A" w:rsidP="009A41AF">
      <w:pPr>
        <w:pStyle w:val="PPVAppendixHeading2"/>
        <w:ind w:left="0" w:firstLine="0"/>
      </w:pPr>
      <w:r>
        <w:t>Executive s</w:t>
      </w:r>
      <w:r w:rsidR="00BF45DA" w:rsidRPr="00601526">
        <w:t>ummary</w:t>
      </w:r>
    </w:p>
    <w:p w:rsidR="00D03F0E" w:rsidRDefault="00D03F0E" w:rsidP="00186075">
      <w:pPr>
        <w:pStyle w:val="Heading4"/>
      </w:pPr>
      <w:r w:rsidRPr="007A7D08">
        <w:t>Summary</w:t>
      </w:r>
    </w:p>
    <w:p w:rsidR="0055040B" w:rsidRPr="0055040B" w:rsidRDefault="008B3EAB" w:rsidP="0055040B">
      <w:pPr>
        <w:pStyle w:val="PPVBody"/>
      </w:pPr>
      <w:r>
        <w:t>This is R</w:t>
      </w:r>
      <w:r w:rsidR="00C70AC5">
        <w:t xml:space="preserve">eport </w:t>
      </w:r>
      <w:r w:rsidR="00ED6C38">
        <w:t>No</w:t>
      </w:r>
      <w:r w:rsidR="00581F65">
        <w:t>.</w:t>
      </w:r>
      <w:r w:rsidR="00085B1F">
        <w:t xml:space="preserve"> 4</w:t>
      </w:r>
      <w:r w:rsidR="00A462FE">
        <w:t xml:space="preserve"> </w:t>
      </w:r>
      <w:r w:rsidR="00406F18">
        <w:t>of the</w:t>
      </w:r>
      <w:r w:rsidR="00C70AC5">
        <w:t xml:space="preserve"> Review Panel</w:t>
      </w:r>
      <w:r w:rsidR="00A462FE">
        <w:t xml:space="preserve"> which relates to</w:t>
      </w:r>
      <w:r w:rsidR="00C70AC5">
        <w:t xml:space="preserve"> the </w:t>
      </w:r>
      <w:r w:rsidR="00C1506B">
        <w:t>Sandridge</w:t>
      </w:r>
      <w:r w:rsidR="00C70AC5">
        <w:t xml:space="preserve"> Precinct within Fishermans Bend.</w:t>
      </w:r>
    </w:p>
    <w:p w:rsidR="001E76A0" w:rsidRPr="008B3EAB" w:rsidRDefault="00C1506B" w:rsidP="000C5DD2">
      <w:pPr>
        <w:pStyle w:val="PPVBody"/>
      </w:pPr>
      <w:r>
        <w:t>Sandridge</w:t>
      </w:r>
      <w:r w:rsidR="008B6D98" w:rsidRPr="008B3EAB">
        <w:t xml:space="preserve"> </w:t>
      </w:r>
      <w:r w:rsidR="002402D5" w:rsidRPr="008B3EAB">
        <w:t>is located in the City of</w:t>
      </w:r>
      <w:r w:rsidR="001F568F">
        <w:t xml:space="preserve"> Port</w:t>
      </w:r>
      <w:r w:rsidR="002402D5" w:rsidRPr="008B3EAB">
        <w:t xml:space="preserve"> </w:t>
      </w:r>
      <w:r w:rsidR="00443BFD" w:rsidRPr="008B3EAB">
        <w:t>Phillip</w:t>
      </w:r>
      <w:r w:rsidR="002402D5" w:rsidRPr="008B3EAB">
        <w:t xml:space="preserve"> and covers an area of </w:t>
      </w:r>
      <w:r w:rsidR="00ED6C38">
        <w:t>86</w:t>
      </w:r>
      <w:r w:rsidR="002402D5" w:rsidRPr="008B3EAB">
        <w:t xml:space="preserve"> hectares.</w:t>
      </w:r>
      <w:r w:rsidR="008B3EAB" w:rsidRPr="008B3EAB">
        <w:t xml:space="preserve"> </w:t>
      </w:r>
      <w:r w:rsidR="002402D5" w:rsidRPr="008B3EAB">
        <w:t xml:space="preserve"> </w:t>
      </w:r>
      <w:r>
        <w:t>Sandridge</w:t>
      </w:r>
      <w:r w:rsidR="002402D5" w:rsidRPr="008B3EAB">
        <w:t xml:space="preserve"> will</w:t>
      </w:r>
      <w:r w:rsidR="002C37D1">
        <w:t xml:space="preserve"> be a key commercial </w:t>
      </w:r>
      <w:r w:rsidR="001F568F">
        <w:t>area</w:t>
      </w:r>
      <w:r w:rsidR="002C37D1">
        <w:t>, extending the city centre from the CBD and Docklands</w:t>
      </w:r>
      <w:r w:rsidR="002402D5" w:rsidRPr="008B3EAB">
        <w:t>,</w:t>
      </w:r>
      <w:r w:rsidR="002C37D1">
        <w:t xml:space="preserve"> while</w:t>
      </w:r>
      <w:r w:rsidR="00441012">
        <w:t xml:space="preserve"> also providing community hubs and public spaces supported by a </w:t>
      </w:r>
      <w:r w:rsidR="0079583B">
        <w:t>range</w:t>
      </w:r>
      <w:r w:rsidR="00441012">
        <w:t xml:space="preserve"> of</w:t>
      </w:r>
      <w:r w:rsidR="0079583B">
        <w:t xml:space="preserve"> convenient</w:t>
      </w:r>
      <w:r w:rsidR="00441012">
        <w:t xml:space="preserve"> transport options.</w:t>
      </w:r>
    </w:p>
    <w:p w:rsidR="001E76A0" w:rsidRDefault="00775E04" w:rsidP="000C5DD2">
      <w:pPr>
        <w:pStyle w:val="PPVBody"/>
      </w:pPr>
      <w:r w:rsidRPr="008B3EAB">
        <w:t>Submissions raised a wide range of issues including:</w:t>
      </w:r>
    </w:p>
    <w:p w:rsidR="00F6473A" w:rsidRDefault="00F6473A" w:rsidP="002402D5">
      <w:pPr>
        <w:pStyle w:val="PPVBullet1"/>
      </w:pPr>
      <w:r>
        <w:t xml:space="preserve">the </w:t>
      </w:r>
      <w:r w:rsidR="009435E6">
        <w:t xml:space="preserve">impact of the proposed controls </w:t>
      </w:r>
      <w:r>
        <w:t>on existing businesses</w:t>
      </w:r>
    </w:p>
    <w:p w:rsidR="00F6473A" w:rsidRDefault="00F6473A" w:rsidP="002402D5">
      <w:pPr>
        <w:pStyle w:val="PPVBullet1"/>
      </w:pPr>
      <w:r>
        <w:t>the impact of the proposed control</w:t>
      </w:r>
      <w:r w:rsidR="00972B65">
        <w:t>s</w:t>
      </w:r>
      <w:r>
        <w:t xml:space="preserve"> on the ability to develop some sites</w:t>
      </w:r>
    </w:p>
    <w:p w:rsidR="00775E04" w:rsidRDefault="00C82EFD" w:rsidP="002402D5">
      <w:pPr>
        <w:pStyle w:val="PPVBullet1"/>
      </w:pPr>
      <w:r>
        <w:t xml:space="preserve">the </w:t>
      </w:r>
      <w:r w:rsidR="00F6473A">
        <w:t>p</w:t>
      </w:r>
      <w:r w:rsidR="00941AB8">
        <w:t>roposed FAR was too restrictive to achieve precinct development goals</w:t>
      </w:r>
    </w:p>
    <w:p w:rsidR="00775E04" w:rsidRDefault="00F6473A" w:rsidP="002402D5">
      <w:pPr>
        <w:pStyle w:val="PPVBullet1"/>
      </w:pPr>
      <w:r>
        <w:t>r</w:t>
      </w:r>
      <w:r w:rsidR="00941AB8">
        <w:t xml:space="preserve">equests for clarification and details on </w:t>
      </w:r>
      <w:r w:rsidR="009271C1">
        <w:t xml:space="preserve">site </w:t>
      </w:r>
      <w:r w:rsidR="00941AB8">
        <w:t>acquisition for public space and infrastructure</w:t>
      </w:r>
    </w:p>
    <w:p w:rsidR="00A462FE" w:rsidRDefault="00F6473A" w:rsidP="002402D5">
      <w:pPr>
        <w:pStyle w:val="PPVBullet1"/>
      </w:pPr>
      <w:r>
        <w:t>r</w:t>
      </w:r>
      <w:r w:rsidR="00972B65">
        <w:t>econsidering the Parking O</w:t>
      </w:r>
      <w:r w:rsidR="00941AB8">
        <w:t>verlay</w:t>
      </w:r>
    </w:p>
    <w:p w:rsidR="00A462FE" w:rsidRDefault="00F6473A" w:rsidP="002402D5">
      <w:pPr>
        <w:pStyle w:val="PPVBullet1"/>
      </w:pPr>
      <w:r>
        <w:t>t</w:t>
      </w:r>
      <w:r w:rsidR="00941AB8">
        <w:t>he proposed controls should be discretionary rather than mandatory</w:t>
      </w:r>
      <w:r w:rsidR="000F1092">
        <w:t>.</w:t>
      </w:r>
    </w:p>
    <w:p w:rsidR="008B6D98" w:rsidRDefault="00F6473A" w:rsidP="000C5DD2">
      <w:pPr>
        <w:pStyle w:val="PPVBody"/>
      </w:pPr>
      <w:r>
        <w:t xml:space="preserve">This report should be read in conjunction with </w:t>
      </w:r>
      <w:r w:rsidR="00A03D2C">
        <w:t>t</w:t>
      </w:r>
      <w:r w:rsidR="00DF38AE">
        <w:t>he Overview Report</w:t>
      </w:r>
      <w:r>
        <w:t>, which provides the overview of the context and process of the Review Panel, and addresses common issues raised in submissions (such as the method of acquiring land for public purposes, funding infrastructure in Fishermans Bend, Floor Area Ratio, Floor Area Uplift, affordable housing, governance and other matters)</w:t>
      </w:r>
      <w:r w:rsidR="00E508F1">
        <w:t>.</w:t>
      </w:r>
    </w:p>
    <w:p w:rsidR="002402D5" w:rsidRDefault="002402D5" w:rsidP="0055040B">
      <w:pPr>
        <w:pStyle w:val="Heading4"/>
      </w:pPr>
      <w:r>
        <w:t>Findings</w:t>
      </w:r>
    </w:p>
    <w:p w:rsidR="002402D5" w:rsidRDefault="002402D5" w:rsidP="002402D5">
      <w:pPr>
        <w:pStyle w:val="PPVBody"/>
      </w:pPr>
      <w:r>
        <w:t xml:space="preserve">In relation to the key issues </w:t>
      </w:r>
      <w:r w:rsidR="00AE4761">
        <w:t xml:space="preserve">for the </w:t>
      </w:r>
      <w:r w:rsidR="00C1506B">
        <w:t>Sandridge</w:t>
      </w:r>
      <w:r w:rsidR="00AE4761">
        <w:t xml:space="preserve"> Precinct</w:t>
      </w:r>
      <w:r>
        <w:t xml:space="preserve">, the </w:t>
      </w:r>
      <w:r w:rsidR="00AE4761">
        <w:t>Review Panel concludes:</w:t>
      </w:r>
    </w:p>
    <w:p w:rsidR="00166E4E" w:rsidRDefault="00166E4E" w:rsidP="0054678B">
      <w:pPr>
        <w:pStyle w:val="PPVBullet1"/>
      </w:pPr>
      <w:r>
        <w:t>T</w:t>
      </w:r>
      <w:r w:rsidRPr="00B8773B">
        <w:t>he built form of Sandridge is consistent with its intended future role as a key commercial centre (in the core area) and the need to transition to lower scale areas</w:t>
      </w:r>
      <w:r>
        <w:t>.</w:t>
      </w:r>
    </w:p>
    <w:p w:rsidR="00166E4E" w:rsidRPr="00B8773B" w:rsidRDefault="00166E4E" w:rsidP="00166E4E">
      <w:pPr>
        <w:pStyle w:val="PPVBullet1"/>
        <w:rPr>
          <w:rFonts w:asciiTheme="minorHAnsi" w:eastAsiaTheme="minorEastAsia" w:hAnsiTheme="minorHAnsi" w:cstheme="minorBidi"/>
          <w:sz w:val="22"/>
          <w:szCs w:val="22"/>
        </w:rPr>
      </w:pPr>
      <w:r w:rsidRPr="00B8773B">
        <w:t>Sandridge lends itself to taller buildings in the core area to support its employment role and to capitalise on the planned Metro Station.</w:t>
      </w:r>
    </w:p>
    <w:p w:rsidR="00166E4E" w:rsidRPr="00B8773B" w:rsidRDefault="00166E4E" w:rsidP="00166E4E">
      <w:pPr>
        <w:pStyle w:val="PPVBullet1"/>
        <w:rPr>
          <w:rFonts w:asciiTheme="minorHAnsi" w:eastAsiaTheme="minorEastAsia" w:hAnsiTheme="minorHAnsi" w:cstheme="minorBidi"/>
          <w:sz w:val="22"/>
          <w:szCs w:val="22"/>
        </w:rPr>
      </w:pPr>
      <w:r w:rsidRPr="00B8773B">
        <w:t>The Plummer–Fennel Street boulevard will be a key feature of the future development of the Precinct.</w:t>
      </w:r>
    </w:p>
    <w:p w:rsidR="00166E4E" w:rsidRPr="00B8773B" w:rsidRDefault="00166E4E" w:rsidP="00166E4E">
      <w:pPr>
        <w:pStyle w:val="PPVBullet1"/>
        <w:rPr>
          <w:rFonts w:asciiTheme="minorHAnsi" w:eastAsiaTheme="minorEastAsia" w:hAnsiTheme="minorHAnsi" w:cstheme="minorBidi"/>
          <w:sz w:val="22"/>
          <w:szCs w:val="22"/>
        </w:rPr>
      </w:pPr>
      <w:r w:rsidRPr="00B8773B">
        <w:t>The proposed open space network in Sandridge as reflected in the revised (Part C) CCZ and DDO maps is appropriate.</w:t>
      </w:r>
    </w:p>
    <w:p w:rsidR="00166E4E" w:rsidRPr="00B8773B" w:rsidRDefault="00166E4E" w:rsidP="00166E4E">
      <w:pPr>
        <w:pStyle w:val="PPVBullet1"/>
        <w:rPr>
          <w:rFonts w:asciiTheme="minorHAnsi" w:eastAsiaTheme="minorEastAsia" w:hAnsiTheme="minorHAnsi" w:cstheme="minorBidi"/>
          <w:sz w:val="22"/>
          <w:szCs w:val="22"/>
        </w:rPr>
      </w:pPr>
      <w:r w:rsidRPr="00B8773B">
        <w:rPr>
          <w:rFonts w:asciiTheme="minorHAnsi" w:eastAsiaTheme="minorEastAsia" w:hAnsiTheme="minorHAnsi" w:cstheme="minorBidi"/>
          <w:sz w:val="22"/>
          <w:szCs w:val="22"/>
        </w:rPr>
        <w:t>T</w:t>
      </w:r>
      <w:r w:rsidRPr="00B8773B">
        <w:t>here is no compelling design reason to relocate the open space at the Plummer/Bridge Street intersection to the north side of the intersection.</w:t>
      </w:r>
    </w:p>
    <w:p w:rsidR="00166E4E" w:rsidRPr="00B8773B" w:rsidRDefault="00166E4E" w:rsidP="00166E4E">
      <w:pPr>
        <w:pStyle w:val="PPVBullet1"/>
        <w:rPr>
          <w:rFonts w:asciiTheme="minorHAnsi" w:eastAsiaTheme="minorEastAsia" w:hAnsiTheme="minorHAnsi" w:cstheme="minorBidi"/>
          <w:sz w:val="22"/>
          <w:szCs w:val="22"/>
        </w:rPr>
      </w:pPr>
      <w:r w:rsidRPr="00B8773B">
        <w:t>The open space on the corner of Fennel and Bertie Streets should be revisited when preparing the Precinct Plan.</w:t>
      </w:r>
    </w:p>
    <w:p w:rsidR="00166E4E" w:rsidRPr="00B8773B" w:rsidRDefault="00166E4E" w:rsidP="00166E4E">
      <w:pPr>
        <w:pStyle w:val="PPVBullet1"/>
        <w:rPr>
          <w:rFonts w:asciiTheme="minorHAnsi" w:eastAsiaTheme="minorEastAsia" w:hAnsiTheme="minorHAnsi" w:cstheme="minorBidi"/>
          <w:sz w:val="22"/>
          <w:szCs w:val="22"/>
        </w:rPr>
      </w:pPr>
      <w:r w:rsidRPr="00B8773B">
        <w:t>The proposed locations of the community hubs are appropriate.</w:t>
      </w:r>
    </w:p>
    <w:p w:rsidR="00166E4E" w:rsidRPr="00B8773B" w:rsidRDefault="00166E4E" w:rsidP="00166E4E">
      <w:pPr>
        <w:pStyle w:val="PPVBullet1"/>
        <w:rPr>
          <w:rFonts w:asciiTheme="minorHAnsi" w:eastAsiaTheme="minorEastAsia" w:hAnsiTheme="minorHAnsi" w:cstheme="minorBidi"/>
          <w:sz w:val="22"/>
          <w:szCs w:val="22"/>
        </w:rPr>
      </w:pPr>
      <w:r w:rsidRPr="00B8773B">
        <w:t>The three proposed road segments south of Fennell Street between Bridge Street and Boundary Street are required to break up the large allotments.</w:t>
      </w:r>
    </w:p>
    <w:p w:rsidR="00166E4E" w:rsidRDefault="00166E4E" w:rsidP="0054678B">
      <w:pPr>
        <w:pStyle w:val="PPVBullet1"/>
      </w:pPr>
      <w:r w:rsidRPr="00B8773B">
        <w:rPr>
          <w:rFonts w:asciiTheme="minorHAnsi" w:eastAsiaTheme="minorEastAsia" w:hAnsiTheme="minorHAnsi" w:cstheme="minorBidi"/>
          <w:sz w:val="22"/>
          <w:szCs w:val="22"/>
        </w:rPr>
        <w:t xml:space="preserve">The </w:t>
      </w:r>
      <w:r w:rsidRPr="00B8773B">
        <w:t xml:space="preserve">road and laneway network can be further refined as part of the Precinct Plan process to resolve </w:t>
      </w:r>
      <w:r w:rsidRPr="00B8773B">
        <w:rPr>
          <w:rFonts w:asciiTheme="minorHAnsi" w:hAnsiTheme="minorHAnsi"/>
        </w:rPr>
        <w:t>the exact location, alignment, width and function of each road and laneway</w:t>
      </w:r>
      <w:r>
        <w:rPr>
          <w:rFonts w:asciiTheme="minorHAnsi" w:hAnsiTheme="minorHAnsi"/>
        </w:rPr>
        <w:t>.</w:t>
      </w:r>
    </w:p>
    <w:p w:rsidR="002402D5" w:rsidRPr="002402D5" w:rsidRDefault="008E1C42" w:rsidP="008E1C42">
      <w:pPr>
        <w:pStyle w:val="PPVBody"/>
      </w:pPr>
      <w:r>
        <w:t>In addition, the Review Panel has responded to a range of site specific issues raised in submissions and has recommended further changes where appropriate.</w:t>
      </w:r>
    </w:p>
    <w:p w:rsidR="00607994" w:rsidRDefault="00E32C7D" w:rsidP="0055040B">
      <w:pPr>
        <w:pStyle w:val="Heading4"/>
      </w:pPr>
      <w:r w:rsidRPr="007A7D08">
        <w:t>Recommendation</w:t>
      </w:r>
      <w:r w:rsidR="007F07E8">
        <w:t>s</w:t>
      </w:r>
    </w:p>
    <w:p w:rsidR="00D80E24" w:rsidRDefault="00D80E24" w:rsidP="00D80E24">
      <w:pPr>
        <w:pStyle w:val="PPVBody"/>
      </w:pPr>
      <w:r>
        <w:t>Based on the reasons set out i</w:t>
      </w:r>
      <w:r w:rsidRPr="00233351">
        <w:t>n this Report, the</w:t>
      </w:r>
      <w:r>
        <w:t xml:space="preserve"> Review</w:t>
      </w:r>
      <w:r w:rsidRPr="00233351">
        <w:t xml:space="preserve"> Panel recommends</w:t>
      </w:r>
      <w:r>
        <w:t xml:space="preserve"> that the Minister for Planning progress draft Amendment GC81, subject </w:t>
      </w:r>
      <w:r w:rsidRPr="00FC0608">
        <w:t>to the following</w:t>
      </w:r>
      <w:r>
        <w:t xml:space="preserve"> changes</w:t>
      </w:r>
      <w:r w:rsidRPr="00FC0608">
        <w:t>:</w:t>
      </w:r>
    </w:p>
    <w:p w:rsidR="00AA0E65" w:rsidRDefault="00E500BC">
      <w:pPr>
        <w:pStyle w:val="TOC4"/>
        <w:rPr>
          <w:rFonts w:asciiTheme="minorHAnsi" w:eastAsiaTheme="minorEastAsia" w:hAnsiTheme="minorHAnsi" w:cstheme="minorBidi"/>
          <w:b w:val="0"/>
          <w:sz w:val="22"/>
          <w:szCs w:val="22"/>
        </w:rPr>
      </w:pPr>
      <w:r>
        <w:fldChar w:fldCharType="begin"/>
      </w:r>
      <w:r>
        <w:instrText xml:space="preserve"> TOC \n \p " " \t "PPV Recommendation,4,PPV Recommendation </w:instrText>
      </w:r>
      <w:r w:rsidR="0046475D">
        <w:instrText>Alpha</w:instrText>
      </w:r>
      <w:r>
        <w:instrText xml:space="preserve"> List,</w:instrText>
      </w:r>
      <w:r w:rsidR="0046475D">
        <w:instrText>5</w:instrText>
      </w:r>
      <w:r>
        <w:instrText>,PPV Recommendation Bullet,</w:instrText>
      </w:r>
      <w:r w:rsidR="00A06D3E">
        <w:instrText>6</w:instrText>
      </w:r>
      <w:r>
        <w:instrText>,PPV Recommendation Qu</w:instrText>
      </w:r>
      <w:r w:rsidR="0046475D">
        <w:instrText>o</w:instrText>
      </w:r>
      <w:r>
        <w:instrText>te or General Text,</w:instrText>
      </w:r>
      <w:r w:rsidR="00A06D3E">
        <w:instrText>7</w:instrText>
      </w:r>
      <w:r>
        <w:instrText xml:space="preserve">" </w:instrText>
      </w:r>
      <w:r>
        <w:fldChar w:fldCharType="separate"/>
      </w:r>
      <w:r w:rsidR="00AA0E65" w:rsidRPr="00561F06">
        <w:rPr>
          <w:color w:val="000000"/>
          <w14:scene3d>
            <w14:camera w14:prst="orthographicFront"/>
            <w14:lightRig w14:rig="threePt" w14:dir="t">
              <w14:rot w14:lat="0" w14:lon="0" w14:rev="0"/>
            </w14:lightRig>
          </w14:scene3d>
        </w:rPr>
        <w:t>1.</w:t>
      </w:r>
      <w:r w:rsidR="00AA0E65">
        <w:rPr>
          <w:rFonts w:asciiTheme="minorHAnsi" w:eastAsiaTheme="minorEastAsia" w:hAnsiTheme="minorHAnsi" w:cstheme="minorBidi"/>
          <w:b w:val="0"/>
          <w:sz w:val="22"/>
          <w:szCs w:val="22"/>
        </w:rPr>
        <w:tab/>
      </w:r>
      <w:r w:rsidR="00AA0E65">
        <w:t>Remove the specific requirement for the Maximum street wall height for the northeast corner of Fennel and Bridge Street</w:t>
      </w:r>
      <w:r w:rsidR="004B5700">
        <w:t>s</w:t>
      </w:r>
      <w:r w:rsidR="00AA0E65">
        <w:t>.</w:t>
      </w:r>
    </w:p>
    <w:p w:rsidR="00AA0E65" w:rsidRDefault="00AA0E65">
      <w:pPr>
        <w:pStyle w:val="TOC4"/>
        <w:rPr>
          <w:rFonts w:asciiTheme="minorHAnsi" w:eastAsiaTheme="minorEastAsia" w:hAnsiTheme="minorHAnsi" w:cstheme="minorBidi"/>
          <w:b w:val="0"/>
          <w:sz w:val="22"/>
          <w:szCs w:val="22"/>
        </w:rPr>
      </w:pPr>
      <w:r w:rsidRPr="00561F06">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t xml:space="preserve">Include the need for three proposed road segments south of Fennell Street </w:t>
      </w:r>
      <w:r w:rsidRPr="00561F06">
        <w:rPr>
          <w:rFonts w:asciiTheme="minorHAnsi" w:hAnsiTheme="minorHAnsi"/>
        </w:rPr>
        <w:t>between Bridge Street and Boundary Street in the Capital City Zone maps as an indicative link.</w:t>
      </w:r>
    </w:p>
    <w:p w:rsidR="00AA0E65" w:rsidRDefault="00AA0E65">
      <w:pPr>
        <w:pStyle w:val="TOC4"/>
        <w:rPr>
          <w:rFonts w:asciiTheme="minorHAnsi" w:eastAsiaTheme="minorEastAsia" w:hAnsiTheme="minorHAnsi" w:cstheme="minorBidi"/>
          <w:b w:val="0"/>
          <w:sz w:val="22"/>
          <w:szCs w:val="22"/>
        </w:rPr>
      </w:pPr>
      <w:r w:rsidRPr="00561F06">
        <w:rPr>
          <w:color w:val="00000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rPr>
        <w:tab/>
      </w:r>
      <w:r>
        <w:t>Remove the ‘no crossover’ designation from the Ingles Street service road in those locations where the Ingles Street bridge will deliver the strategic cycling corridor.</w:t>
      </w:r>
    </w:p>
    <w:p w:rsidR="00AA0E65" w:rsidRDefault="00AA0E65">
      <w:pPr>
        <w:pStyle w:val="TOC4"/>
        <w:rPr>
          <w:rFonts w:asciiTheme="minorHAnsi" w:eastAsiaTheme="minorEastAsia" w:hAnsiTheme="minorHAnsi" w:cstheme="minorBidi"/>
          <w:b w:val="0"/>
          <w:sz w:val="22"/>
          <w:szCs w:val="22"/>
        </w:rPr>
      </w:pPr>
      <w:r w:rsidRPr="00561F06">
        <w:rPr>
          <w:color w:val="000000"/>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rPr>
        <w:tab/>
      </w:r>
      <w:r>
        <w:t>Show the proposed road through the Toyota site at 155 Bertie Street, Port Melbourne as ‘indicative’.</w:t>
      </w:r>
    </w:p>
    <w:p w:rsidR="003B5FA1" w:rsidRDefault="00E500BC" w:rsidP="0055040B">
      <w:pPr>
        <w:pStyle w:val="PPVBody"/>
      </w:pPr>
      <w:r>
        <w:rPr>
          <w:b/>
          <w:noProof/>
          <w:color w:val="215868" w:themeColor="accent5" w:themeShade="80"/>
        </w:rPr>
        <w:fldChar w:fldCharType="end"/>
      </w:r>
    </w:p>
    <w:p w:rsidR="00B4353C" w:rsidRDefault="00B4353C" w:rsidP="0055040B">
      <w:pPr>
        <w:pStyle w:val="PPVBody"/>
        <w:sectPr w:rsidR="00B4353C" w:rsidSect="00454572">
          <w:headerReference w:type="default" r:id="rId24"/>
          <w:footerReference w:type="default" r:id="rId25"/>
          <w:pgSz w:w="11906" w:h="16838"/>
          <w:pgMar w:top="1701" w:right="1418" w:bottom="1701" w:left="1418" w:header="720" w:footer="448" w:gutter="0"/>
          <w:pgNumType w:start="1"/>
          <w:cols w:space="708"/>
          <w:docGrid w:linePitch="360"/>
        </w:sectPr>
      </w:pPr>
    </w:p>
    <w:p w:rsidR="00607994" w:rsidRDefault="00FC09A5" w:rsidP="00445060">
      <w:pPr>
        <w:pStyle w:val="Heading1"/>
      </w:pPr>
      <w:bookmarkStart w:id="9" w:name="_Toc519848963"/>
      <w:bookmarkStart w:id="10" w:name="_Toc105479995"/>
      <w:bookmarkStart w:id="11" w:name="_Toc29444375"/>
      <w:bookmarkStart w:id="12" w:name="_Toc29444347"/>
      <w:bookmarkStart w:id="13" w:name="_Toc486364565"/>
      <w:bookmarkStart w:id="14" w:name="_Toc29444373"/>
      <w:r>
        <w:t>Strategic Overview</w:t>
      </w:r>
      <w:bookmarkEnd w:id="9"/>
    </w:p>
    <w:p w:rsidR="00A00B8E" w:rsidRDefault="00E508F1" w:rsidP="00B67CC7">
      <w:pPr>
        <w:pStyle w:val="Heading2"/>
      </w:pPr>
      <w:bookmarkStart w:id="15" w:name="_Toc519848964"/>
      <w:r>
        <w:t>P</w:t>
      </w:r>
      <w:r w:rsidR="00FC09A5">
        <w:t>recinct</w:t>
      </w:r>
      <w:r w:rsidR="008E1C42">
        <w:t xml:space="preserve"> context</w:t>
      </w:r>
      <w:bookmarkEnd w:id="15"/>
    </w:p>
    <w:p w:rsidR="008A083A" w:rsidRDefault="008A6A91" w:rsidP="002402D5">
      <w:pPr>
        <w:pStyle w:val="PPVBody"/>
      </w:pPr>
      <w:r>
        <w:t xml:space="preserve">The </w:t>
      </w:r>
      <w:r w:rsidR="00C1506B">
        <w:t>Sandridge</w:t>
      </w:r>
      <w:r w:rsidR="0070109A">
        <w:t xml:space="preserve"> </w:t>
      </w:r>
      <w:r w:rsidR="003B5FA1">
        <w:t>P</w:t>
      </w:r>
      <w:r w:rsidR="0070109A">
        <w:t>recinct</w:t>
      </w:r>
      <w:r>
        <w:t xml:space="preserve"> is located in th</w:t>
      </w:r>
      <w:r w:rsidR="005B36E5">
        <w:t xml:space="preserve">e City of Port Phillip and is </w:t>
      </w:r>
      <w:r w:rsidR="0070109A">
        <w:t>86</w:t>
      </w:r>
      <w:r>
        <w:t xml:space="preserve"> hectares in size</w:t>
      </w:r>
      <w:r w:rsidR="00A1146E">
        <w:t xml:space="preserve">, with a net developable area of </w:t>
      </w:r>
      <w:r w:rsidR="0070109A">
        <w:t>63</w:t>
      </w:r>
      <w:r w:rsidR="00A1146E">
        <w:t xml:space="preserve"> hectares</w:t>
      </w:r>
      <w:r>
        <w:t>.</w:t>
      </w:r>
    </w:p>
    <w:p w:rsidR="00A1146E" w:rsidRPr="002402D5" w:rsidRDefault="008A6A91" w:rsidP="002402D5">
      <w:pPr>
        <w:pStyle w:val="PPVBody"/>
      </w:pPr>
      <w:r>
        <w:t xml:space="preserve">It is </w:t>
      </w:r>
      <w:r w:rsidR="00A1146E">
        <w:t>bound by</w:t>
      </w:r>
      <w:r>
        <w:t xml:space="preserve"> the We</w:t>
      </w:r>
      <w:r w:rsidR="00843055">
        <w:t xml:space="preserve">stgate Freeway </w:t>
      </w:r>
      <w:r w:rsidR="00A1146E">
        <w:t xml:space="preserve">to the north, </w:t>
      </w:r>
      <w:r w:rsidR="0070109A">
        <w:t>Johnson Street</w:t>
      </w:r>
      <w:r w:rsidR="00A1146E">
        <w:t xml:space="preserve"> to the east, </w:t>
      </w:r>
      <w:r w:rsidR="0070109A">
        <w:t>Williamstown Road</w:t>
      </w:r>
      <w:r w:rsidR="00A1146E">
        <w:t xml:space="preserve"> to the south and </w:t>
      </w:r>
      <w:r w:rsidR="0070109A">
        <w:t>Graham Street</w:t>
      </w:r>
      <w:r w:rsidR="00FD6CDF">
        <w:t xml:space="preserve"> to the west</w:t>
      </w:r>
      <w:r w:rsidR="00BD66D0">
        <w:t xml:space="preserve"> (refer to Figure 1)</w:t>
      </w:r>
      <w:r w:rsidR="006D35B9">
        <w:t>.  S</w:t>
      </w:r>
      <w:r w:rsidR="00427F72">
        <w:t>andridge is characterised by its wide main and secondary roads and large lots</w:t>
      </w:r>
      <w:r w:rsidR="006D35B9">
        <w:t>.  I</w:t>
      </w:r>
      <w:r w:rsidR="00427F72">
        <w:t>t also contains a large playing field at North Port Oval</w:t>
      </w:r>
      <w:r w:rsidR="006D35B9">
        <w:t>.  P</w:t>
      </w:r>
      <w:r w:rsidR="00427F72">
        <w:t>ublic transport options are somewhat limited within t</w:t>
      </w:r>
      <w:r w:rsidR="003B5FA1">
        <w:t>he Precinct</w:t>
      </w:r>
      <w:r w:rsidR="00427F72">
        <w:t>.</w:t>
      </w:r>
    </w:p>
    <w:p w:rsidR="00D164A8" w:rsidRPr="00D164A8" w:rsidRDefault="00D164A8" w:rsidP="00D164A8">
      <w:pPr>
        <w:pStyle w:val="Caption"/>
      </w:pPr>
      <w:bookmarkStart w:id="16" w:name="_Toc519849014"/>
      <w:r w:rsidRPr="00D164A8">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1</w:t>
      </w:r>
      <w:r w:rsidR="009271C1">
        <w:rPr>
          <w:noProof/>
        </w:rPr>
        <w:fldChar w:fldCharType="end"/>
      </w:r>
      <w:r w:rsidR="00140D84">
        <w:rPr>
          <w:noProof/>
        </w:rPr>
        <w:t>:</w:t>
      </w:r>
      <w:r w:rsidR="00F843A1">
        <w:tab/>
      </w:r>
      <w:r w:rsidR="00A03D2C">
        <w:t>The subject land</w:t>
      </w:r>
      <w:bookmarkEnd w:id="16"/>
    </w:p>
    <w:p w:rsidR="00A00B8E" w:rsidRDefault="00A03D2C" w:rsidP="00A00B8E">
      <w:pPr>
        <w:pStyle w:val="PPVBody"/>
      </w:pPr>
      <w:r w:rsidRPr="00A03D2C">
        <w:rPr>
          <w:noProof/>
        </w:rPr>
        <w:drawing>
          <wp:inline distT="0" distB="0" distL="0" distR="0">
            <wp:extent cx="5546785" cy="3398807"/>
            <wp:effectExtent l="0" t="0" r="0" b="0"/>
            <wp:docPr id="9" name="Picture 9" descr="G:\Planning\PPV\Finance and Administration\Administration\Project officer files\Fishermans Bend AC\Joe's working docs\FB Report\Report Images\Working images\Sandridge satellit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nning\PPV\Finance and Administration\Administration\Project officer files\Fishermans Bend AC\Joe's working docs\FB Report\Report Images\Working images\Sandridge satellite map.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3679" b="8097"/>
                    <a:stretch/>
                  </pic:blipFill>
                  <pic:spPr bwMode="auto">
                    <a:xfrm>
                      <a:off x="0" y="0"/>
                      <a:ext cx="5547569" cy="3399288"/>
                    </a:xfrm>
                    <a:prstGeom prst="rect">
                      <a:avLst/>
                    </a:prstGeom>
                    <a:noFill/>
                    <a:ln>
                      <a:noFill/>
                    </a:ln>
                    <a:extLst>
                      <a:ext uri="{53640926-AAD7-44D8-BBD7-CCE9431645EC}">
                        <a14:shadowObscured xmlns:a14="http://schemas.microsoft.com/office/drawing/2010/main"/>
                      </a:ext>
                    </a:extLst>
                  </pic:spPr>
                </pic:pic>
              </a:graphicData>
            </a:graphic>
          </wp:inline>
        </w:drawing>
      </w:r>
    </w:p>
    <w:p w:rsidR="000E0D78" w:rsidRDefault="000E0D78" w:rsidP="000E0D78">
      <w:pPr>
        <w:pStyle w:val="PPVSource"/>
      </w:pPr>
      <w:r>
        <w:t>Source: Google Maps</w:t>
      </w:r>
    </w:p>
    <w:p w:rsidR="00443BFD" w:rsidRDefault="00443BFD" w:rsidP="00522C9C">
      <w:pPr>
        <w:pStyle w:val="Heading2"/>
        <w:tabs>
          <w:tab w:val="clear" w:pos="1440"/>
          <w:tab w:val="left" w:pos="851"/>
        </w:tabs>
      </w:pPr>
      <w:bookmarkStart w:id="17" w:name="_Toc519848965"/>
      <w:r>
        <w:t xml:space="preserve">Existing </w:t>
      </w:r>
      <w:r w:rsidR="00BA473B">
        <w:t>p</w:t>
      </w:r>
      <w:r>
        <w:t xml:space="preserve">lanning </w:t>
      </w:r>
      <w:r w:rsidR="00BA473B">
        <w:t>c</w:t>
      </w:r>
      <w:r w:rsidR="00E508F1">
        <w:t>ontrols</w:t>
      </w:r>
      <w:bookmarkEnd w:id="17"/>
    </w:p>
    <w:p w:rsidR="008A6A91" w:rsidRDefault="001E6080" w:rsidP="008A6A91">
      <w:pPr>
        <w:pStyle w:val="PPVBody"/>
      </w:pPr>
      <w:r>
        <w:t xml:space="preserve">The Capital City Zone, Schedule 1 and Design and Development Overlay, Schedule 30 currently apply to the </w:t>
      </w:r>
      <w:r w:rsidR="003B5FA1">
        <w:t>Sandridge Precinct</w:t>
      </w:r>
      <w:r>
        <w:t>.</w:t>
      </w:r>
      <w:r w:rsidR="00BD66D0">
        <w:t xml:space="preserve">  DDO30 applies as illustrated in Figure 2.</w:t>
      </w:r>
    </w:p>
    <w:p w:rsidR="007340ED" w:rsidRDefault="007340ED" w:rsidP="007340ED">
      <w:pPr>
        <w:pStyle w:val="Caption"/>
      </w:pPr>
      <w:bookmarkStart w:id="18" w:name="_Ref519697921"/>
      <w:bookmarkStart w:id="19" w:name="_Toc519849015"/>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2</w:t>
      </w:r>
      <w:r w:rsidR="009271C1">
        <w:rPr>
          <w:noProof/>
        </w:rPr>
        <w:fldChar w:fldCharType="end"/>
      </w:r>
      <w:bookmarkEnd w:id="18"/>
      <w:r w:rsidR="00972B65">
        <w:t>:</w:t>
      </w:r>
      <w:r w:rsidR="00972B65">
        <w:tab/>
      </w:r>
      <w:r>
        <w:t>Design and Development Overlay, Schedule 30</w:t>
      </w:r>
      <w:bookmarkEnd w:id="19"/>
    </w:p>
    <w:p w:rsidR="005B36E5" w:rsidRDefault="00A601F3" w:rsidP="005B36E5">
      <w:pPr>
        <w:pStyle w:val="PPVBody"/>
        <w:keepNext/>
      </w:pPr>
      <w:r>
        <w:rPr>
          <w:noProof/>
        </w:rPr>
        <w:drawing>
          <wp:inline distT="0" distB="0" distL="0" distR="0" wp14:anchorId="56FD7B46" wp14:editId="7A11F7A5">
            <wp:extent cx="4826442" cy="365202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6442" cy="3652026"/>
                    </a:xfrm>
                    <a:prstGeom prst="rect">
                      <a:avLst/>
                    </a:prstGeom>
                  </pic:spPr>
                </pic:pic>
              </a:graphicData>
            </a:graphic>
          </wp:inline>
        </w:drawing>
      </w:r>
    </w:p>
    <w:p w:rsidR="00BD66D0" w:rsidRDefault="00BD66D0" w:rsidP="00BD66D0">
      <w:pPr>
        <w:pStyle w:val="PPVBody"/>
      </w:pPr>
      <w:r>
        <w:t>Under DDO30, Sandridge is split into three areas (A1, A3 and A4) with varied maximum building heights.  North Sandridge is designated A4, which allows 18 storeys.  The south of Sandridge, and the area around North Port Oval, is designated A1, which allows heights of 1-4 storeys.  A section in the western part of the precinct is designated A3, which allows 12 storeys.  Two of the current permits are for low rise (up to 4 storey) townhouse developments, and the third is for two towers that exceed the current height limits by a significant amount.  The two applications are for buildings of 18 and 19 storeys which are generally consistent with DDO30.</w:t>
      </w:r>
    </w:p>
    <w:p w:rsidR="00D20F9D" w:rsidRDefault="00D20F9D" w:rsidP="008A6A91">
      <w:pPr>
        <w:pStyle w:val="PPVBody"/>
      </w:pPr>
      <w:r>
        <w:t>The current interim built form controls are shown in</w:t>
      </w:r>
      <w:r w:rsidR="00CF04E6">
        <w:t xml:space="preserve"> </w:t>
      </w:r>
      <w:r w:rsidR="00CF04E6">
        <w:fldChar w:fldCharType="begin"/>
      </w:r>
      <w:r w:rsidR="00CF04E6">
        <w:instrText xml:space="preserve"> REF _Ref518658344 \h </w:instrText>
      </w:r>
      <w:r w:rsidR="00CF04E6">
        <w:fldChar w:fldCharType="separate"/>
      </w:r>
      <w:r w:rsidR="00AA0E65">
        <w:t xml:space="preserve">Table </w:t>
      </w:r>
      <w:r w:rsidR="00AA0E65">
        <w:rPr>
          <w:noProof/>
        </w:rPr>
        <w:t>1</w:t>
      </w:r>
      <w:r w:rsidR="00CF04E6">
        <w:fldChar w:fldCharType="end"/>
      </w:r>
      <w:r>
        <w:t>.</w:t>
      </w:r>
    </w:p>
    <w:p w:rsidR="00CF04E6" w:rsidRDefault="00CF04E6" w:rsidP="00CF04E6">
      <w:pPr>
        <w:pStyle w:val="Caption"/>
      </w:pPr>
      <w:bookmarkStart w:id="20" w:name="_Ref518658344"/>
      <w:bookmarkStart w:id="21" w:name="_Ref519697939"/>
      <w:bookmarkStart w:id="22" w:name="_Toc519849011"/>
      <w:r>
        <w:t xml:space="preserve">Table </w:t>
      </w:r>
      <w:r w:rsidR="009271C1">
        <w:rPr>
          <w:noProof/>
        </w:rPr>
        <w:fldChar w:fldCharType="begin"/>
      </w:r>
      <w:r w:rsidR="009271C1">
        <w:rPr>
          <w:noProof/>
        </w:rPr>
        <w:instrText xml:space="preserve"> SEQ Table \* ARABIC </w:instrText>
      </w:r>
      <w:r w:rsidR="009271C1">
        <w:rPr>
          <w:noProof/>
        </w:rPr>
        <w:fldChar w:fldCharType="separate"/>
      </w:r>
      <w:r w:rsidR="00AA0E65">
        <w:rPr>
          <w:noProof/>
        </w:rPr>
        <w:t>1</w:t>
      </w:r>
      <w:r w:rsidR="009271C1">
        <w:rPr>
          <w:noProof/>
        </w:rPr>
        <w:fldChar w:fldCharType="end"/>
      </w:r>
      <w:bookmarkEnd w:id="20"/>
      <w:r>
        <w:t>:</w:t>
      </w:r>
      <w:r>
        <w:tab/>
        <w:t xml:space="preserve">Interim built form controls </w:t>
      </w:r>
      <w:r w:rsidR="003667E2">
        <w:t>(GC50)</w:t>
      </w:r>
      <w:bookmarkEnd w:id="21"/>
      <w:bookmarkEnd w:id="22"/>
    </w:p>
    <w:tbl>
      <w:tblPr>
        <w:tblW w:w="4945" w:type="pct"/>
        <w:tblInd w:w="108" w:type="dxa"/>
        <w:tblBorders>
          <w:bottom w:val="single" w:sz="12" w:space="0" w:color="215868"/>
          <w:insideH w:val="dotted" w:sz="4" w:space="0" w:color="auto"/>
        </w:tblBorders>
        <w:tblLayout w:type="fixed"/>
        <w:tblLook w:val="0660" w:firstRow="1" w:lastRow="1" w:firstColumn="0" w:lastColumn="0" w:noHBand="1" w:noVBand="1"/>
      </w:tblPr>
      <w:tblGrid>
        <w:gridCol w:w="2410"/>
        <w:gridCol w:w="6774"/>
      </w:tblGrid>
      <w:tr w:rsidR="006D2E35" w:rsidRPr="00822760" w:rsidTr="00CF04E6">
        <w:trPr>
          <w:cantSplit/>
          <w:tblHeader/>
        </w:trPr>
        <w:tc>
          <w:tcPr>
            <w:tcW w:w="1312" w:type="pct"/>
            <w:tcBorders>
              <w:top w:val="nil"/>
              <w:bottom w:val="dotted" w:sz="4" w:space="0" w:color="auto"/>
            </w:tcBorders>
            <w:shd w:val="clear" w:color="auto" w:fill="215868"/>
            <w:noWrap/>
            <w:vAlign w:val="bottom"/>
          </w:tcPr>
          <w:p w:rsidR="006D2E35" w:rsidRPr="00822760" w:rsidRDefault="006D2E35" w:rsidP="00CF04E6">
            <w:pPr>
              <w:pStyle w:val="PPVTableHeader"/>
            </w:pPr>
            <w:r>
              <w:t>Built Form Element</w:t>
            </w:r>
          </w:p>
        </w:tc>
        <w:tc>
          <w:tcPr>
            <w:tcW w:w="3688" w:type="pct"/>
            <w:tcBorders>
              <w:top w:val="nil"/>
              <w:bottom w:val="dotted" w:sz="4" w:space="0" w:color="auto"/>
            </w:tcBorders>
            <w:shd w:val="clear" w:color="auto" w:fill="215868"/>
            <w:vAlign w:val="bottom"/>
          </w:tcPr>
          <w:p w:rsidR="006D2E35" w:rsidRPr="00822760" w:rsidRDefault="006D2E35" w:rsidP="00CF04E6">
            <w:pPr>
              <w:pStyle w:val="PPVTableHeader"/>
            </w:pPr>
            <w:r>
              <w:t>Requirement</w:t>
            </w:r>
          </w:p>
        </w:tc>
      </w:tr>
      <w:tr w:rsidR="006D2E35" w:rsidRPr="004E051D" w:rsidTr="00CF04E6">
        <w:trPr>
          <w:cantSplit/>
        </w:trPr>
        <w:tc>
          <w:tcPr>
            <w:tcW w:w="1312" w:type="pct"/>
            <w:tcBorders>
              <w:top w:val="dotted" w:sz="4" w:space="0" w:color="auto"/>
            </w:tcBorders>
            <w:noWrap/>
          </w:tcPr>
          <w:p w:rsidR="006D2E35" w:rsidRPr="004E051D" w:rsidRDefault="006D2E35" w:rsidP="00CF04E6">
            <w:pPr>
              <w:pStyle w:val="PPVTableText"/>
            </w:pPr>
            <w:r>
              <w:t>Building height</w:t>
            </w:r>
          </w:p>
        </w:tc>
        <w:tc>
          <w:tcPr>
            <w:tcW w:w="3688" w:type="pct"/>
            <w:tcBorders>
              <w:top w:val="dotted" w:sz="4" w:space="0" w:color="auto"/>
            </w:tcBorders>
          </w:tcPr>
          <w:p w:rsidR="008A083A" w:rsidRDefault="006D2E35" w:rsidP="00CF04E6">
            <w:pPr>
              <w:pStyle w:val="PPVTableText"/>
            </w:pPr>
            <w:r>
              <w:t>Mandatory maximum:</w:t>
            </w:r>
          </w:p>
          <w:p w:rsidR="008A083A" w:rsidRDefault="006D2E35" w:rsidP="00CF04E6">
            <w:pPr>
              <w:pStyle w:val="PPVTableText"/>
            </w:pPr>
            <w:r>
              <w:t xml:space="preserve">A1 </w:t>
            </w:r>
            <w:r w:rsidR="00FF1251">
              <w:t>–</w:t>
            </w:r>
            <w:r>
              <w:t xml:space="preserve"> 4 Storeys</w:t>
            </w:r>
          </w:p>
          <w:p w:rsidR="008A083A" w:rsidRDefault="006D2E35" w:rsidP="00CF04E6">
            <w:pPr>
              <w:pStyle w:val="PPVTableText"/>
            </w:pPr>
            <w:r>
              <w:t xml:space="preserve">A3 </w:t>
            </w:r>
            <w:r w:rsidR="00FF1251">
              <w:t>–</w:t>
            </w:r>
            <w:r>
              <w:t xml:space="preserve"> 12 Storeys</w:t>
            </w:r>
          </w:p>
          <w:p w:rsidR="006D2E35" w:rsidRPr="004E051D" w:rsidRDefault="00427F72" w:rsidP="00CF04E6">
            <w:pPr>
              <w:pStyle w:val="PPVTableText"/>
            </w:pPr>
            <w:r>
              <w:t xml:space="preserve">A4 </w:t>
            </w:r>
            <w:r w:rsidR="00FF1251">
              <w:t>–</w:t>
            </w:r>
            <w:r>
              <w:t xml:space="preserve"> 18 Storeys </w:t>
            </w:r>
            <w:r w:rsidR="006D2E35">
              <w:t xml:space="preserve"> </w:t>
            </w:r>
          </w:p>
        </w:tc>
      </w:tr>
      <w:tr w:rsidR="006D2E35" w:rsidRPr="004E051D" w:rsidTr="00CF04E6">
        <w:trPr>
          <w:cantSplit/>
        </w:trPr>
        <w:tc>
          <w:tcPr>
            <w:tcW w:w="1312" w:type="pct"/>
            <w:noWrap/>
          </w:tcPr>
          <w:p w:rsidR="006D2E35" w:rsidRPr="004E051D" w:rsidRDefault="006D2E35" w:rsidP="00CF04E6">
            <w:pPr>
              <w:pStyle w:val="PPVTableText"/>
            </w:pPr>
            <w:r>
              <w:t>Street wall height</w:t>
            </w:r>
          </w:p>
        </w:tc>
        <w:tc>
          <w:tcPr>
            <w:tcW w:w="3688" w:type="pct"/>
          </w:tcPr>
          <w:p w:rsidR="006D2E35" w:rsidRPr="004E051D" w:rsidRDefault="006D2E35" w:rsidP="00CF04E6">
            <w:pPr>
              <w:pStyle w:val="PPVTableText"/>
            </w:pPr>
            <w:r>
              <w:t xml:space="preserve">Mandatory maximum 5 storeys or </w:t>
            </w:r>
            <w:r w:rsidR="00D20F9D">
              <w:t xml:space="preserve">20 metres, whichever is lesser </w:t>
            </w:r>
          </w:p>
        </w:tc>
      </w:tr>
      <w:tr w:rsidR="006D2E35" w:rsidRPr="004E051D" w:rsidTr="00CF04E6">
        <w:trPr>
          <w:cantSplit/>
        </w:trPr>
        <w:tc>
          <w:tcPr>
            <w:tcW w:w="1312" w:type="pct"/>
            <w:noWrap/>
          </w:tcPr>
          <w:p w:rsidR="006D2E35" w:rsidRPr="004E051D" w:rsidRDefault="006D2E35" w:rsidP="00CF04E6">
            <w:pPr>
              <w:pStyle w:val="PPVTableText"/>
            </w:pPr>
            <w:r>
              <w:t>Tower setback</w:t>
            </w:r>
          </w:p>
        </w:tc>
        <w:tc>
          <w:tcPr>
            <w:tcW w:w="3688" w:type="pct"/>
          </w:tcPr>
          <w:p w:rsidR="008A083A" w:rsidRDefault="006D2E35" w:rsidP="00CF04E6">
            <w:pPr>
              <w:pStyle w:val="PPVTableText"/>
            </w:pPr>
            <w:r>
              <w:t>Mandatory minimum 10 metres to the street edge</w:t>
            </w:r>
          </w:p>
          <w:p w:rsidR="008A083A" w:rsidRDefault="006D2E35" w:rsidP="00CF04E6">
            <w:pPr>
              <w:pStyle w:val="PPVTableText"/>
            </w:pPr>
            <w:r>
              <w:t>Mandatory minimum 10 metres to all other boundaries</w:t>
            </w:r>
          </w:p>
          <w:p w:rsidR="006D2E35" w:rsidRPr="004E051D" w:rsidRDefault="006D2E35" w:rsidP="00CF04E6">
            <w:pPr>
              <w:pStyle w:val="PPVTableText"/>
            </w:pPr>
            <w:r>
              <w:t xml:space="preserve">Setback can be taken from centre of laneway (if applicable) </w:t>
            </w:r>
          </w:p>
        </w:tc>
      </w:tr>
      <w:tr w:rsidR="006D2E35" w:rsidRPr="004E051D" w:rsidTr="00CF04E6">
        <w:trPr>
          <w:cantSplit/>
        </w:trPr>
        <w:tc>
          <w:tcPr>
            <w:tcW w:w="1312" w:type="pct"/>
            <w:noWrap/>
          </w:tcPr>
          <w:p w:rsidR="006D2E35" w:rsidRPr="004E051D" w:rsidRDefault="001B340C" w:rsidP="00CF04E6">
            <w:pPr>
              <w:pStyle w:val="PPVTableText"/>
            </w:pPr>
            <w:r>
              <w:t>Tower separation</w:t>
            </w:r>
          </w:p>
        </w:tc>
        <w:tc>
          <w:tcPr>
            <w:tcW w:w="3688" w:type="pct"/>
          </w:tcPr>
          <w:p w:rsidR="006D2E35" w:rsidRDefault="006D2E35" w:rsidP="00CF04E6">
            <w:pPr>
              <w:pStyle w:val="PPVTableText"/>
            </w:pPr>
            <w:r>
              <w:t>Mandatory minimum 20 metres</w:t>
            </w:r>
          </w:p>
        </w:tc>
      </w:tr>
    </w:tbl>
    <w:p w:rsidR="00005B9B" w:rsidRDefault="00005B9B" w:rsidP="00846320">
      <w:pPr>
        <w:pStyle w:val="Heading2"/>
        <w:tabs>
          <w:tab w:val="clear" w:pos="1440"/>
          <w:tab w:val="left" w:pos="851"/>
        </w:tabs>
      </w:pPr>
      <w:bookmarkStart w:id="23" w:name="_Toc519848966"/>
      <w:r>
        <w:t xml:space="preserve">Planning </w:t>
      </w:r>
      <w:r w:rsidR="00CF04E6">
        <w:t>permit application</w:t>
      </w:r>
      <w:r>
        <w:t xml:space="preserve"> history</w:t>
      </w:r>
      <w:bookmarkEnd w:id="23"/>
    </w:p>
    <w:p w:rsidR="00981E31" w:rsidRDefault="00427F72" w:rsidP="00846320">
      <w:pPr>
        <w:pStyle w:val="PPVBody"/>
        <w:keepNext/>
      </w:pPr>
      <w:r>
        <w:t>Th</w:t>
      </w:r>
      <w:r w:rsidR="00166017">
        <w:t xml:space="preserve">ere are currently </w:t>
      </w:r>
      <w:r w:rsidR="00FF1251">
        <w:t>three</w:t>
      </w:r>
      <w:r w:rsidR="00166017">
        <w:t xml:space="preserve"> permits and </w:t>
      </w:r>
      <w:r w:rsidR="00FF1251">
        <w:t>two</w:t>
      </w:r>
      <w:r w:rsidR="00166017">
        <w:t xml:space="preserve"> permit applications, of which both have been called in.</w:t>
      </w:r>
    </w:p>
    <w:p w:rsidR="00AA46EB" w:rsidRDefault="00AA46EB" w:rsidP="00972B65">
      <w:pPr>
        <w:pStyle w:val="Caption"/>
      </w:pPr>
      <w:bookmarkStart w:id="24" w:name="_Toc519849012"/>
      <w:r>
        <w:t xml:space="preserve">Table </w:t>
      </w:r>
      <w:r w:rsidR="009271C1">
        <w:rPr>
          <w:noProof/>
        </w:rPr>
        <w:fldChar w:fldCharType="begin"/>
      </w:r>
      <w:r w:rsidR="009271C1">
        <w:rPr>
          <w:noProof/>
        </w:rPr>
        <w:instrText xml:space="preserve"> SEQ Table \* ARABIC </w:instrText>
      </w:r>
      <w:r w:rsidR="009271C1">
        <w:rPr>
          <w:noProof/>
        </w:rPr>
        <w:fldChar w:fldCharType="separate"/>
      </w:r>
      <w:r w:rsidR="00AA0E65">
        <w:rPr>
          <w:noProof/>
        </w:rPr>
        <w:t>2</w:t>
      </w:r>
      <w:r w:rsidR="009271C1">
        <w:rPr>
          <w:noProof/>
        </w:rPr>
        <w:fldChar w:fldCharType="end"/>
      </w:r>
      <w:r>
        <w:t>:</w:t>
      </w:r>
      <w:r>
        <w:tab/>
        <w:t>Current Permits</w:t>
      </w:r>
      <w:bookmarkEnd w:id="24"/>
    </w:p>
    <w:tbl>
      <w:tblPr>
        <w:tblW w:w="9062"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2534"/>
        <w:gridCol w:w="1276"/>
        <w:gridCol w:w="3551"/>
        <w:gridCol w:w="1701"/>
      </w:tblGrid>
      <w:tr w:rsidR="00AA46EB" w:rsidRPr="0035264D" w:rsidTr="005779A4">
        <w:trPr>
          <w:cantSplit/>
          <w:trHeight w:val="422"/>
          <w:tblHeader/>
        </w:trPr>
        <w:tc>
          <w:tcPr>
            <w:tcW w:w="2534" w:type="dxa"/>
            <w:tcBorders>
              <w:top w:val="nil"/>
              <w:bottom w:val="dotted" w:sz="4" w:space="0" w:color="auto"/>
            </w:tcBorders>
            <w:shd w:val="clear" w:color="auto" w:fill="215868"/>
            <w:vAlign w:val="bottom"/>
            <w:hideMark/>
          </w:tcPr>
          <w:p w:rsidR="00AA46EB" w:rsidRPr="0035264D" w:rsidRDefault="00AA46EB" w:rsidP="00972B65">
            <w:pPr>
              <w:pStyle w:val="PPVTableHeader"/>
              <w:keepNext/>
            </w:pPr>
            <w:r w:rsidRPr="0035264D">
              <w:t>Address</w:t>
            </w:r>
          </w:p>
        </w:tc>
        <w:tc>
          <w:tcPr>
            <w:tcW w:w="1276" w:type="dxa"/>
            <w:tcBorders>
              <w:top w:val="nil"/>
              <w:bottom w:val="dotted" w:sz="4" w:space="0" w:color="auto"/>
            </w:tcBorders>
            <w:shd w:val="clear" w:color="auto" w:fill="215868"/>
            <w:vAlign w:val="bottom"/>
            <w:hideMark/>
          </w:tcPr>
          <w:p w:rsidR="00AA46EB" w:rsidRPr="0035264D" w:rsidRDefault="00AA46EB" w:rsidP="00972B65">
            <w:pPr>
              <w:pStyle w:val="PPVTableHeader"/>
              <w:keepNext/>
            </w:pPr>
            <w:r>
              <w:t>Submitter</w:t>
            </w:r>
          </w:p>
        </w:tc>
        <w:tc>
          <w:tcPr>
            <w:tcW w:w="3551" w:type="dxa"/>
            <w:tcBorders>
              <w:top w:val="nil"/>
              <w:bottom w:val="dotted" w:sz="4" w:space="0" w:color="auto"/>
            </w:tcBorders>
            <w:shd w:val="clear" w:color="auto" w:fill="215868"/>
            <w:vAlign w:val="bottom"/>
            <w:hideMark/>
          </w:tcPr>
          <w:p w:rsidR="00AA46EB" w:rsidRPr="0035264D" w:rsidRDefault="00AA46EB" w:rsidP="00972B65">
            <w:pPr>
              <w:pStyle w:val="PPVTableHeader"/>
              <w:keepNext/>
            </w:pPr>
            <w:r w:rsidRPr="0035264D">
              <w:t>Permit</w:t>
            </w:r>
          </w:p>
        </w:tc>
        <w:tc>
          <w:tcPr>
            <w:tcW w:w="1701" w:type="dxa"/>
            <w:tcBorders>
              <w:top w:val="nil"/>
              <w:bottom w:val="dotted" w:sz="4" w:space="0" w:color="auto"/>
            </w:tcBorders>
            <w:shd w:val="clear" w:color="auto" w:fill="215868"/>
            <w:vAlign w:val="bottom"/>
          </w:tcPr>
          <w:p w:rsidR="00AA46EB" w:rsidRDefault="00AA46EB" w:rsidP="00972B65">
            <w:pPr>
              <w:pStyle w:val="PPVTableHeader"/>
              <w:keepNext/>
              <w:rPr>
                <w:rFonts w:ascii="Times New Roman" w:hAnsi="Times New Roman" w:cs="Times New Roman"/>
              </w:rPr>
            </w:pPr>
            <w:r>
              <w:t>Proposed FAR</w:t>
            </w:r>
          </w:p>
        </w:tc>
      </w:tr>
      <w:tr w:rsidR="00AA46EB" w:rsidRPr="0035264D" w:rsidTr="005779A4">
        <w:trPr>
          <w:cantSplit/>
          <w:trHeight w:val="315"/>
        </w:trPr>
        <w:tc>
          <w:tcPr>
            <w:tcW w:w="2534" w:type="dxa"/>
            <w:tcBorders>
              <w:top w:val="dotted" w:sz="4" w:space="0" w:color="auto"/>
            </w:tcBorders>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60-82 Johnston St</w:t>
            </w:r>
          </w:p>
        </w:tc>
        <w:tc>
          <w:tcPr>
            <w:tcW w:w="1276" w:type="dxa"/>
            <w:tcBorders>
              <w:top w:val="dotted" w:sz="4" w:space="0" w:color="auto"/>
            </w:tcBorders>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250</w:t>
            </w:r>
          </w:p>
        </w:tc>
        <w:tc>
          <w:tcPr>
            <w:tcW w:w="3551" w:type="dxa"/>
            <w:tcBorders>
              <w:top w:val="dotted" w:sz="4" w:space="0" w:color="auto"/>
            </w:tcBorders>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23 &amp; 47 storeys</w:t>
            </w:r>
          </w:p>
        </w:tc>
        <w:tc>
          <w:tcPr>
            <w:tcW w:w="1701" w:type="dxa"/>
            <w:tcBorders>
              <w:top w:val="dotted" w:sz="4" w:space="0" w:color="auto"/>
            </w:tcBorders>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3.3:1 (non-core)</w:t>
            </w:r>
          </w:p>
        </w:tc>
      </w:tr>
      <w:tr w:rsidR="00AA46EB" w:rsidRPr="0035264D" w:rsidTr="005779A4">
        <w:trPr>
          <w:cantSplit/>
          <w:trHeight w:val="315"/>
        </w:trPr>
        <w:tc>
          <w:tcPr>
            <w:tcW w:w="2534" w:type="dxa"/>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164-220 Ingles St</w:t>
            </w:r>
          </w:p>
        </w:tc>
        <w:tc>
          <w:tcPr>
            <w:tcW w:w="1276" w:type="dxa"/>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N/A</w:t>
            </w:r>
          </w:p>
        </w:tc>
        <w:tc>
          <w:tcPr>
            <w:tcW w:w="3551" w:type="dxa"/>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3 storey townhouses – constructed</w:t>
            </w:r>
          </w:p>
        </w:tc>
        <w:tc>
          <w:tcPr>
            <w:tcW w:w="1701" w:type="dxa"/>
            <w:shd w:val="clear" w:color="auto" w:fill="auto"/>
            <w:vAlign w:val="center"/>
          </w:tcPr>
          <w:p w:rsidR="00AA46EB" w:rsidRPr="008B7084" w:rsidRDefault="00AA46EB" w:rsidP="00972B65">
            <w:pPr>
              <w:keepNext/>
              <w:spacing w:before="0"/>
              <w:jc w:val="left"/>
              <w:rPr>
                <w:rFonts w:ascii="Times New Roman" w:hAnsi="Times New Roman" w:cs="Times New Roman"/>
                <w:color w:val="000000"/>
                <w:sz w:val="22"/>
                <w:szCs w:val="22"/>
              </w:rPr>
            </w:pPr>
            <w:r>
              <w:rPr>
                <w:color w:val="000000"/>
                <w:sz w:val="22"/>
                <w:szCs w:val="22"/>
              </w:rPr>
              <w:t>3.3:1 (non-core)</w:t>
            </w:r>
          </w:p>
        </w:tc>
      </w:tr>
      <w:tr w:rsidR="00AA46EB" w:rsidRPr="0035264D" w:rsidTr="005779A4">
        <w:trPr>
          <w:cantSplit/>
          <w:trHeight w:val="315"/>
        </w:trPr>
        <w:tc>
          <w:tcPr>
            <w:tcW w:w="2534" w:type="dxa"/>
            <w:shd w:val="clear" w:color="auto" w:fill="auto"/>
            <w:vAlign w:val="center"/>
          </w:tcPr>
          <w:p w:rsidR="00AA46EB" w:rsidRPr="008B7084" w:rsidRDefault="00AA46EB" w:rsidP="005779A4">
            <w:pPr>
              <w:spacing w:before="0"/>
              <w:jc w:val="left"/>
              <w:rPr>
                <w:rFonts w:ascii="Times New Roman" w:hAnsi="Times New Roman" w:cs="Times New Roman"/>
                <w:color w:val="000000"/>
                <w:sz w:val="22"/>
                <w:szCs w:val="22"/>
              </w:rPr>
            </w:pPr>
            <w:r>
              <w:rPr>
                <w:color w:val="000000"/>
                <w:sz w:val="22"/>
                <w:szCs w:val="22"/>
              </w:rPr>
              <w:t>14 Woodruff St</w:t>
            </w:r>
          </w:p>
        </w:tc>
        <w:tc>
          <w:tcPr>
            <w:tcW w:w="1276" w:type="dxa"/>
            <w:shd w:val="clear" w:color="auto" w:fill="auto"/>
            <w:vAlign w:val="center"/>
          </w:tcPr>
          <w:p w:rsidR="00AA46EB" w:rsidRPr="008B7084" w:rsidRDefault="00AA46EB" w:rsidP="005779A4">
            <w:pPr>
              <w:spacing w:before="0"/>
              <w:jc w:val="left"/>
              <w:rPr>
                <w:rFonts w:ascii="Times New Roman" w:hAnsi="Times New Roman" w:cs="Times New Roman"/>
                <w:color w:val="000000"/>
                <w:sz w:val="22"/>
                <w:szCs w:val="22"/>
              </w:rPr>
            </w:pPr>
            <w:r>
              <w:rPr>
                <w:color w:val="000000"/>
                <w:sz w:val="22"/>
                <w:szCs w:val="22"/>
              </w:rPr>
              <w:t>109</w:t>
            </w:r>
          </w:p>
        </w:tc>
        <w:tc>
          <w:tcPr>
            <w:tcW w:w="3551" w:type="dxa"/>
            <w:shd w:val="clear" w:color="auto" w:fill="auto"/>
            <w:vAlign w:val="center"/>
          </w:tcPr>
          <w:p w:rsidR="00AA46EB" w:rsidRPr="008B7084" w:rsidRDefault="009271C1" w:rsidP="005779A4">
            <w:pPr>
              <w:spacing w:before="0"/>
              <w:jc w:val="left"/>
              <w:rPr>
                <w:rFonts w:ascii="Times New Roman" w:hAnsi="Times New Roman" w:cs="Times New Roman"/>
                <w:color w:val="000000"/>
                <w:sz w:val="22"/>
                <w:szCs w:val="22"/>
              </w:rPr>
            </w:pPr>
            <w:r>
              <w:rPr>
                <w:color w:val="000000"/>
                <w:sz w:val="22"/>
                <w:szCs w:val="22"/>
              </w:rPr>
              <w:t>4 storey /</w:t>
            </w:r>
            <w:r w:rsidR="00AA46EB">
              <w:rPr>
                <w:color w:val="000000"/>
                <w:sz w:val="22"/>
                <w:szCs w:val="22"/>
              </w:rPr>
              <w:t>20 metre</w:t>
            </w:r>
          </w:p>
        </w:tc>
        <w:tc>
          <w:tcPr>
            <w:tcW w:w="1701" w:type="dxa"/>
            <w:shd w:val="clear" w:color="auto" w:fill="auto"/>
            <w:vAlign w:val="center"/>
          </w:tcPr>
          <w:p w:rsidR="00AA46EB" w:rsidRPr="008B7084" w:rsidRDefault="00AA46EB" w:rsidP="005779A4">
            <w:pPr>
              <w:spacing w:before="0"/>
              <w:jc w:val="left"/>
              <w:rPr>
                <w:rFonts w:ascii="Times New Roman" w:hAnsi="Times New Roman" w:cs="Times New Roman"/>
                <w:color w:val="000000"/>
                <w:sz w:val="22"/>
                <w:szCs w:val="22"/>
              </w:rPr>
            </w:pPr>
            <w:r>
              <w:rPr>
                <w:color w:val="000000"/>
                <w:sz w:val="22"/>
                <w:szCs w:val="22"/>
              </w:rPr>
              <w:t>3.3:1 (non-core)</w:t>
            </w:r>
          </w:p>
        </w:tc>
      </w:tr>
    </w:tbl>
    <w:p w:rsidR="00AA46EB" w:rsidRDefault="00AA46EB" w:rsidP="00AA46EB">
      <w:pPr>
        <w:pStyle w:val="Caption"/>
      </w:pPr>
      <w:bookmarkStart w:id="25" w:name="_Toc519849013"/>
      <w:r>
        <w:t xml:space="preserve">Table </w:t>
      </w:r>
      <w:r w:rsidR="009271C1">
        <w:rPr>
          <w:noProof/>
        </w:rPr>
        <w:fldChar w:fldCharType="begin"/>
      </w:r>
      <w:r w:rsidR="009271C1">
        <w:rPr>
          <w:noProof/>
        </w:rPr>
        <w:instrText xml:space="preserve"> SEQ Table \* ARABIC </w:instrText>
      </w:r>
      <w:r w:rsidR="009271C1">
        <w:rPr>
          <w:noProof/>
        </w:rPr>
        <w:fldChar w:fldCharType="separate"/>
      </w:r>
      <w:r w:rsidR="00AA0E65">
        <w:rPr>
          <w:noProof/>
        </w:rPr>
        <w:t>3</w:t>
      </w:r>
      <w:r w:rsidR="009271C1">
        <w:rPr>
          <w:noProof/>
        </w:rPr>
        <w:fldChar w:fldCharType="end"/>
      </w:r>
      <w:r>
        <w:t>:</w:t>
      </w:r>
      <w:r>
        <w:tab/>
        <w:t>Permit Applications</w:t>
      </w:r>
      <w:bookmarkEnd w:id="25"/>
    </w:p>
    <w:tbl>
      <w:tblPr>
        <w:tblW w:w="9062"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2615"/>
        <w:gridCol w:w="1344"/>
        <w:gridCol w:w="3402"/>
        <w:gridCol w:w="1701"/>
      </w:tblGrid>
      <w:tr w:rsidR="00AA46EB" w:rsidRPr="00EE5025" w:rsidTr="005779A4">
        <w:trPr>
          <w:cantSplit/>
          <w:trHeight w:val="315"/>
          <w:tblHeader/>
        </w:trPr>
        <w:tc>
          <w:tcPr>
            <w:tcW w:w="2615" w:type="dxa"/>
            <w:tcBorders>
              <w:top w:val="nil"/>
              <w:bottom w:val="dotted" w:sz="4" w:space="0" w:color="auto"/>
            </w:tcBorders>
            <w:shd w:val="clear" w:color="auto" w:fill="215868"/>
            <w:vAlign w:val="bottom"/>
            <w:hideMark/>
          </w:tcPr>
          <w:p w:rsidR="00AA46EB" w:rsidRPr="00EE5025" w:rsidRDefault="00AA46EB" w:rsidP="005779A4">
            <w:pPr>
              <w:pStyle w:val="PPVTableHeader"/>
            </w:pPr>
            <w:r w:rsidRPr="00EE5025">
              <w:t>Address</w:t>
            </w:r>
          </w:p>
        </w:tc>
        <w:tc>
          <w:tcPr>
            <w:tcW w:w="1344" w:type="dxa"/>
            <w:tcBorders>
              <w:top w:val="nil"/>
              <w:bottom w:val="dotted" w:sz="4" w:space="0" w:color="auto"/>
            </w:tcBorders>
            <w:shd w:val="clear" w:color="auto" w:fill="215868"/>
            <w:vAlign w:val="bottom"/>
            <w:hideMark/>
          </w:tcPr>
          <w:p w:rsidR="00AA46EB" w:rsidRPr="00EE5025" w:rsidRDefault="00AA46EB" w:rsidP="005779A4">
            <w:pPr>
              <w:pStyle w:val="PPVTableHeader"/>
            </w:pPr>
            <w:r>
              <w:t>Submitter</w:t>
            </w:r>
          </w:p>
        </w:tc>
        <w:tc>
          <w:tcPr>
            <w:tcW w:w="3402" w:type="dxa"/>
            <w:tcBorders>
              <w:top w:val="nil"/>
              <w:bottom w:val="dotted" w:sz="4" w:space="0" w:color="auto"/>
            </w:tcBorders>
            <w:shd w:val="clear" w:color="auto" w:fill="215868"/>
            <w:vAlign w:val="bottom"/>
            <w:hideMark/>
          </w:tcPr>
          <w:p w:rsidR="00AA46EB" w:rsidRPr="00EE5025" w:rsidRDefault="00AA46EB" w:rsidP="005779A4">
            <w:pPr>
              <w:pStyle w:val="PPVTableHeader"/>
            </w:pPr>
            <w:r w:rsidRPr="00EE5025">
              <w:t>Permit application</w:t>
            </w:r>
          </w:p>
        </w:tc>
        <w:tc>
          <w:tcPr>
            <w:tcW w:w="1701" w:type="dxa"/>
            <w:tcBorders>
              <w:top w:val="nil"/>
              <w:bottom w:val="dotted" w:sz="4" w:space="0" w:color="auto"/>
            </w:tcBorders>
            <w:shd w:val="clear" w:color="auto" w:fill="215868"/>
            <w:vAlign w:val="bottom"/>
            <w:hideMark/>
          </w:tcPr>
          <w:p w:rsidR="00AA46EB" w:rsidRPr="00EE5025" w:rsidRDefault="00AA46EB" w:rsidP="005779A4">
            <w:pPr>
              <w:pStyle w:val="PPVTableHeader"/>
            </w:pPr>
            <w:r w:rsidRPr="00EE5025">
              <w:t>Proposed FAR</w:t>
            </w:r>
          </w:p>
        </w:tc>
      </w:tr>
      <w:tr w:rsidR="00AA46EB" w:rsidRPr="00EE5025" w:rsidTr="005779A4">
        <w:trPr>
          <w:cantSplit/>
          <w:trHeight w:val="85"/>
        </w:trPr>
        <w:tc>
          <w:tcPr>
            <w:tcW w:w="2615" w:type="dxa"/>
            <w:tcBorders>
              <w:top w:val="dotted" w:sz="4" w:space="0" w:color="auto"/>
            </w:tcBorders>
            <w:shd w:val="clear" w:color="auto" w:fill="auto"/>
            <w:vAlign w:val="center"/>
          </w:tcPr>
          <w:p w:rsidR="00AA46EB" w:rsidRPr="001C56F8" w:rsidRDefault="00AA46EB" w:rsidP="005779A4">
            <w:pPr>
              <w:spacing w:before="0"/>
              <w:jc w:val="left"/>
              <w:rPr>
                <w:rFonts w:ascii="Times New Roman" w:hAnsi="Times New Roman" w:cs="Times New Roman"/>
                <w:color w:val="000000"/>
                <w:sz w:val="22"/>
                <w:szCs w:val="22"/>
              </w:rPr>
            </w:pPr>
            <w:r>
              <w:rPr>
                <w:color w:val="000000"/>
                <w:sz w:val="22"/>
                <w:szCs w:val="22"/>
              </w:rPr>
              <w:t>277-281 Ingles St</w:t>
            </w:r>
          </w:p>
        </w:tc>
        <w:tc>
          <w:tcPr>
            <w:tcW w:w="1344" w:type="dxa"/>
            <w:tcBorders>
              <w:top w:val="dotted" w:sz="4" w:space="0" w:color="auto"/>
            </w:tcBorders>
            <w:shd w:val="clear" w:color="auto" w:fill="auto"/>
            <w:vAlign w:val="center"/>
          </w:tcPr>
          <w:p w:rsidR="00AA46EB" w:rsidRPr="001C56F8" w:rsidRDefault="00AA46EB" w:rsidP="005779A4">
            <w:pPr>
              <w:spacing w:before="0"/>
              <w:jc w:val="left"/>
              <w:rPr>
                <w:rFonts w:ascii="Times New Roman" w:hAnsi="Times New Roman" w:cs="Times New Roman"/>
                <w:color w:val="000000"/>
                <w:sz w:val="22"/>
                <w:szCs w:val="22"/>
              </w:rPr>
            </w:pPr>
            <w:r>
              <w:rPr>
                <w:color w:val="000000"/>
                <w:sz w:val="22"/>
                <w:szCs w:val="22"/>
              </w:rPr>
              <w:t>157</w:t>
            </w:r>
          </w:p>
        </w:tc>
        <w:tc>
          <w:tcPr>
            <w:tcW w:w="3402" w:type="dxa"/>
            <w:tcBorders>
              <w:top w:val="dotted" w:sz="4" w:space="0" w:color="auto"/>
            </w:tcBorders>
            <w:shd w:val="clear" w:color="auto" w:fill="auto"/>
            <w:vAlign w:val="center"/>
          </w:tcPr>
          <w:p w:rsidR="00AA46EB" w:rsidRPr="001C56F8" w:rsidRDefault="00AA46EB" w:rsidP="005779A4">
            <w:pPr>
              <w:spacing w:before="0"/>
              <w:jc w:val="left"/>
              <w:rPr>
                <w:rFonts w:ascii="Times New Roman" w:hAnsi="Times New Roman" w:cs="Times New Roman"/>
                <w:color w:val="000000"/>
                <w:sz w:val="22"/>
                <w:szCs w:val="22"/>
              </w:rPr>
            </w:pPr>
            <w:r>
              <w:rPr>
                <w:color w:val="000000"/>
                <w:sz w:val="22"/>
                <w:szCs w:val="22"/>
              </w:rPr>
              <w:t xml:space="preserve">18 storeys (called in) </w:t>
            </w:r>
          </w:p>
        </w:tc>
        <w:tc>
          <w:tcPr>
            <w:tcW w:w="1701" w:type="dxa"/>
            <w:tcBorders>
              <w:top w:val="dotted" w:sz="4" w:space="0" w:color="auto"/>
            </w:tcBorders>
            <w:shd w:val="clear" w:color="auto" w:fill="auto"/>
            <w:vAlign w:val="center"/>
          </w:tcPr>
          <w:p w:rsidR="00AA46EB" w:rsidRPr="001C56F8" w:rsidRDefault="00AA46EB" w:rsidP="005779A4">
            <w:pPr>
              <w:spacing w:before="0"/>
              <w:jc w:val="left"/>
              <w:rPr>
                <w:rFonts w:ascii="Times New Roman" w:hAnsi="Times New Roman" w:cs="Times New Roman"/>
                <w:color w:val="000000"/>
                <w:sz w:val="22"/>
                <w:szCs w:val="22"/>
              </w:rPr>
            </w:pPr>
            <w:r>
              <w:rPr>
                <w:color w:val="000000"/>
                <w:sz w:val="22"/>
                <w:szCs w:val="22"/>
              </w:rPr>
              <w:t>7.4:1 (core)</w:t>
            </w:r>
          </w:p>
        </w:tc>
      </w:tr>
      <w:tr w:rsidR="00AA46EB" w:rsidRPr="00EE5025" w:rsidTr="005779A4">
        <w:trPr>
          <w:cantSplit/>
          <w:trHeight w:val="85"/>
        </w:trPr>
        <w:tc>
          <w:tcPr>
            <w:tcW w:w="2615" w:type="dxa"/>
            <w:shd w:val="clear" w:color="auto" w:fill="auto"/>
            <w:vAlign w:val="center"/>
          </w:tcPr>
          <w:p w:rsidR="00AA46EB" w:rsidRPr="00C52B7E" w:rsidRDefault="00AA46EB" w:rsidP="005779A4">
            <w:pPr>
              <w:spacing w:before="0"/>
              <w:jc w:val="left"/>
              <w:rPr>
                <w:rFonts w:ascii="Times New Roman" w:hAnsi="Times New Roman" w:cs="Times New Roman"/>
                <w:color w:val="000000"/>
                <w:sz w:val="22"/>
                <w:szCs w:val="22"/>
              </w:rPr>
            </w:pPr>
            <w:r>
              <w:rPr>
                <w:color w:val="000000"/>
                <w:sz w:val="22"/>
                <w:szCs w:val="22"/>
              </w:rPr>
              <w:t>118 Bertie St</w:t>
            </w:r>
          </w:p>
        </w:tc>
        <w:tc>
          <w:tcPr>
            <w:tcW w:w="1344" w:type="dxa"/>
            <w:shd w:val="clear" w:color="auto" w:fill="auto"/>
            <w:vAlign w:val="center"/>
          </w:tcPr>
          <w:p w:rsidR="00AA46EB" w:rsidRPr="00C52B7E" w:rsidRDefault="00AA46EB" w:rsidP="005779A4">
            <w:pPr>
              <w:spacing w:before="0"/>
              <w:jc w:val="left"/>
              <w:rPr>
                <w:rFonts w:ascii="Times New Roman" w:hAnsi="Times New Roman" w:cs="Times New Roman"/>
                <w:color w:val="000000"/>
                <w:sz w:val="22"/>
                <w:szCs w:val="22"/>
              </w:rPr>
            </w:pPr>
            <w:r>
              <w:rPr>
                <w:color w:val="000000"/>
                <w:sz w:val="22"/>
                <w:szCs w:val="22"/>
              </w:rPr>
              <w:t>182</w:t>
            </w:r>
          </w:p>
        </w:tc>
        <w:tc>
          <w:tcPr>
            <w:tcW w:w="3402" w:type="dxa"/>
            <w:shd w:val="clear" w:color="auto" w:fill="auto"/>
            <w:vAlign w:val="center"/>
          </w:tcPr>
          <w:p w:rsidR="00AA46EB" w:rsidRPr="00C52B7E" w:rsidRDefault="00AA46EB" w:rsidP="005779A4">
            <w:pPr>
              <w:spacing w:before="0"/>
              <w:jc w:val="left"/>
              <w:rPr>
                <w:rFonts w:ascii="Times New Roman" w:hAnsi="Times New Roman" w:cs="Times New Roman"/>
                <w:color w:val="000000"/>
                <w:sz w:val="22"/>
                <w:szCs w:val="22"/>
              </w:rPr>
            </w:pPr>
            <w:r>
              <w:rPr>
                <w:color w:val="000000"/>
                <w:sz w:val="22"/>
                <w:szCs w:val="22"/>
              </w:rPr>
              <w:t>19 storeys (called in)</w:t>
            </w:r>
          </w:p>
        </w:tc>
        <w:tc>
          <w:tcPr>
            <w:tcW w:w="1701" w:type="dxa"/>
            <w:shd w:val="clear" w:color="auto" w:fill="auto"/>
            <w:vAlign w:val="center"/>
          </w:tcPr>
          <w:p w:rsidR="00AA46EB" w:rsidRPr="001C56F8" w:rsidRDefault="00AA46EB" w:rsidP="005779A4">
            <w:pPr>
              <w:spacing w:before="0"/>
              <w:jc w:val="left"/>
              <w:rPr>
                <w:rFonts w:ascii="Times New Roman" w:hAnsi="Times New Roman" w:cs="Times New Roman"/>
                <w:color w:val="000000"/>
                <w:sz w:val="22"/>
                <w:szCs w:val="22"/>
              </w:rPr>
            </w:pPr>
            <w:r>
              <w:rPr>
                <w:color w:val="000000"/>
                <w:sz w:val="22"/>
                <w:szCs w:val="22"/>
              </w:rPr>
              <w:t>7.4:1 (core)</w:t>
            </w:r>
          </w:p>
        </w:tc>
      </w:tr>
    </w:tbl>
    <w:p w:rsidR="004F33A5" w:rsidRDefault="004F33A5" w:rsidP="004F33A5">
      <w:pPr>
        <w:pStyle w:val="PPVBody"/>
      </w:pPr>
      <w:r>
        <w:t xml:space="preserve">The town house development at </w:t>
      </w:r>
      <w:r>
        <w:rPr>
          <w:color w:val="000000"/>
          <w:sz w:val="22"/>
          <w:szCs w:val="22"/>
        </w:rPr>
        <w:t>164-220 Ingles Street is largely constructed.  The development features a number of mews like streets that have no landscaping and no obvious lo</w:t>
      </w:r>
      <w:r w:rsidR="00972B65">
        <w:rPr>
          <w:color w:val="000000"/>
          <w:sz w:val="22"/>
          <w:szCs w:val="22"/>
        </w:rPr>
        <w:t>cation for future landscaping.</w:t>
      </w:r>
    </w:p>
    <w:p w:rsidR="00907282" w:rsidRPr="00907282" w:rsidRDefault="00E508F1" w:rsidP="00522C9C">
      <w:pPr>
        <w:pStyle w:val="Heading2"/>
        <w:tabs>
          <w:tab w:val="clear" w:pos="1440"/>
          <w:tab w:val="left" w:pos="851"/>
        </w:tabs>
      </w:pPr>
      <w:bookmarkStart w:id="26" w:name="_Toc519848967"/>
      <w:r>
        <w:t>Hearing</w:t>
      </w:r>
      <w:r w:rsidR="00907282">
        <w:t xml:space="preserve"> process</w:t>
      </w:r>
      <w:bookmarkEnd w:id="26"/>
    </w:p>
    <w:p w:rsidR="00607994" w:rsidRDefault="00BC30AF" w:rsidP="0042708B">
      <w:pPr>
        <w:pStyle w:val="PPVBody"/>
      </w:pPr>
      <w:bookmarkStart w:id="27" w:name="_Toc29443922"/>
      <w:bookmarkStart w:id="28" w:name="_Toc29444352"/>
      <w:bookmarkStart w:id="29" w:name="_Toc105479963"/>
      <w:r>
        <w:t xml:space="preserve">The </w:t>
      </w:r>
      <w:r w:rsidR="00C1506B">
        <w:t>Sandridge</w:t>
      </w:r>
      <w:r>
        <w:t xml:space="preserve"> Hearing was held </w:t>
      </w:r>
      <w:r w:rsidR="0065432F">
        <w:t xml:space="preserve">over </w:t>
      </w:r>
      <w:r w:rsidR="00471192">
        <w:t>7</w:t>
      </w:r>
      <w:r w:rsidR="0065432F">
        <w:t xml:space="preserve"> days</w:t>
      </w:r>
      <w:r w:rsidR="00AE4761">
        <w:t>, generally</w:t>
      </w:r>
      <w:r w:rsidR="0065432F">
        <w:t xml:space="preserve"> between </w:t>
      </w:r>
      <w:r w:rsidR="00471192">
        <w:t>20</w:t>
      </w:r>
      <w:r w:rsidR="0065432F">
        <w:t xml:space="preserve"> April and 8 May 2018.</w:t>
      </w:r>
    </w:p>
    <w:p w:rsidR="00C9586A" w:rsidRDefault="00C9586A" w:rsidP="0042708B">
      <w:pPr>
        <w:pStyle w:val="PPVBody"/>
      </w:pPr>
      <w:r>
        <w:t xml:space="preserve">There were in the order of </w:t>
      </w:r>
      <w:r w:rsidR="00471192">
        <w:t>17</w:t>
      </w:r>
      <w:r>
        <w:t xml:space="preserve"> written submissions</w:t>
      </w:r>
      <w:r w:rsidR="00BD66D0" w:rsidRPr="00BD66D0">
        <w:t xml:space="preserve"> </w:t>
      </w:r>
      <w:r w:rsidR="00BD66D0">
        <w:t>in relation to sites in Sandridge</w:t>
      </w:r>
      <w:r>
        <w:t xml:space="preserve">, of which approximately </w:t>
      </w:r>
      <w:r w:rsidR="00471192">
        <w:t>10</w:t>
      </w:r>
      <w:r>
        <w:t xml:space="preserve"> submitters spoke to or called evidence in support of their submissi</w:t>
      </w:r>
      <w:r w:rsidR="00620D13">
        <w:t xml:space="preserve">on at the Hearing.  </w:t>
      </w:r>
    </w:p>
    <w:p w:rsidR="008A083A" w:rsidRDefault="00A1146E" w:rsidP="00445060">
      <w:pPr>
        <w:pStyle w:val="Heading1"/>
      </w:pPr>
      <w:bookmarkStart w:id="30" w:name="_Toc519848968"/>
      <w:bookmarkStart w:id="31" w:name="_Toc326586197"/>
      <w:bookmarkEnd w:id="27"/>
      <w:bookmarkEnd w:id="28"/>
      <w:bookmarkEnd w:id="29"/>
      <w:r>
        <w:t>Vision and Framework</w:t>
      </w:r>
      <w:bookmarkEnd w:id="30"/>
    </w:p>
    <w:p w:rsidR="008A083A" w:rsidRDefault="00C1506B" w:rsidP="008E1C42">
      <w:pPr>
        <w:pStyle w:val="Heading2"/>
      </w:pPr>
      <w:bookmarkStart w:id="32" w:name="_Toc519848969"/>
      <w:r>
        <w:t>Sandridge</w:t>
      </w:r>
      <w:r w:rsidR="00A1146E">
        <w:t xml:space="preserve"> </w:t>
      </w:r>
      <w:r w:rsidR="00BC30AF">
        <w:t>Vision</w:t>
      </w:r>
      <w:bookmarkEnd w:id="32"/>
    </w:p>
    <w:p w:rsidR="00AE4761" w:rsidRDefault="0065432F" w:rsidP="00AE4761">
      <w:pPr>
        <w:pStyle w:val="PPVBody"/>
      </w:pPr>
      <w:r>
        <w:t xml:space="preserve">The Vision </w:t>
      </w:r>
      <w:r w:rsidR="00AE4761">
        <w:t xml:space="preserve">for the </w:t>
      </w:r>
      <w:r w:rsidR="00C1506B">
        <w:t>Sandridge</w:t>
      </w:r>
      <w:r w:rsidR="00AE4761">
        <w:t xml:space="preserve"> Precinct</w:t>
      </w:r>
      <w:r w:rsidR="00620D13">
        <w:t>, in summary,</w:t>
      </w:r>
      <w:r w:rsidR="00AE4761">
        <w:t xml:space="preserve"> is:</w:t>
      </w:r>
    </w:p>
    <w:p w:rsidR="00A01679" w:rsidRDefault="00C1506B" w:rsidP="00AA0E65">
      <w:pPr>
        <w:pStyle w:val="PPVQuote"/>
      </w:pPr>
      <w:r>
        <w:t>Sandridge</w:t>
      </w:r>
      <w:r w:rsidR="002D74A7">
        <w:t xml:space="preserve"> is one of Melbourne’s premium office and commercial centres, balanced with diverse housing and retail</w:t>
      </w:r>
      <w:r w:rsidR="00A01679">
        <w:t>.</w:t>
      </w:r>
    </w:p>
    <w:p w:rsidR="00A01679" w:rsidRDefault="00A01679" w:rsidP="00AA0E65">
      <w:pPr>
        <w:pStyle w:val="PPVQuote"/>
      </w:pPr>
      <w:r>
        <w:t>Professional services and creative industries are attracted to Sandridge due to the commercial sized floorplates and the easy connections it provides to the CBD and other precincts – allowing access to a wide range of clients and services.</w:t>
      </w:r>
    </w:p>
    <w:p w:rsidR="00A01679" w:rsidRDefault="00A01679" w:rsidP="00AA0E65">
      <w:pPr>
        <w:pStyle w:val="PPVQuote"/>
      </w:pPr>
      <w:r>
        <w:t xml:space="preserve">The Melbourne skyline extends down the </w:t>
      </w:r>
      <w:r w:rsidR="003B5FA1">
        <w:t>Fennel–Plummer Street boulevard</w:t>
      </w:r>
      <w:r>
        <w:t>, the diverse towers providing attractive street level experiences and protecting public open space from overshadowing.</w:t>
      </w:r>
    </w:p>
    <w:p w:rsidR="008A083A" w:rsidRDefault="00A01679" w:rsidP="00AA0E65">
      <w:pPr>
        <w:pStyle w:val="PPVQuote"/>
      </w:pPr>
      <w:r>
        <w:t>Community hubs and mixed use development provide community services for residents and workers, supported by a transport network which includes a light rail corridor</w:t>
      </w:r>
      <w:r w:rsidR="009271C1">
        <w:t xml:space="preserve"> (</w:t>
      </w:r>
      <w:r w:rsidR="00D56235">
        <w:t>proposed</w:t>
      </w:r>
      <w:r w:rsidR="009271C1">
        <w:t xml:space="preserve"> </w:t>
      </w:r>
      <w:r w:rsidR="007B523F">
        <w:t>M</w:t>
      </w:r>
      <w:r w:rsidR="009271C1">
        <w:t xml:space="preserve">etro </w:t>
      </w:r>
      <w:r w:rsidR="00BA473B">
        <w:t>S</w:t>
      </w:r>
      <w:r w:rsidR="009271C1">
        <w:t>tation subject to further investigations)</w:t>
      </w:r>
      <w:r>
        <w:t xml:space="preserve"> and enhanced bus routes.</w:t>
      </w:r>
    </w:p>
    <w:p w:rsidR="0065432F" w:rsidRDefault="00A01679" w:rsidP="00AA0E65">
      <w:pPr>
        <w:pStyle w:val="PPVQuote"/>
      </w:pPr>
      <w:r>
        <w:t>A network of boulevards, laneways, shared paths and living streets link</w:t>
      </w:r>
      <w:r w:rsidR="004F58EC">
        <w:t xml:space="preserve"> a variety of public spaces together</w:t>
      </w:r>
      <w:r w:rsidR="006D35B9">
        <w:t>.  N</w:t>
      </w:r>
      <w:r w:rsidR="004F58EC">
        <w:t>orth Port Oval provides a key anchor for the local community and supports many civic and recreational uses through its improved facilities.</w:t>
      </w:r>
      <w:r w:rsidR="0065432F">
        <w:rPr>
          <w:rStyle w:val="FootnoteReference"/>
        </w:rPr>
        <w:footnoteReference w:id="1"/>
      </w:r>
    </w:p>
    <w:p w:rsidR="00854CF9" w:rsidRDefault="00A1146E" w:rsidP="00443BFD">
      <w:pPr>
        <w:pStyle w:val="PPVBody"/>
      </w:pPr>
      <w:r>
        <w:t xml:space="preserve">The </w:t>
      </w:r>
      <w:r w:rsidR="00C9586A">
        <w:t>Precinct</w:t>
      </w:r>
      <w:r>
        <w:t xml:space="preserve"> </w:t>
      </w:r>
      <w:r w:rsidR="00C9586A">
        <w:t>Directions</w:t>
      </w:r>
      <w:r>
        <w:t xml:space="preserve"> </w:t>
      </w:r>
      <w:r w:rsidR="00620D13">
        <w:t xml:space="preserve">from the Vision </w:t>
      </w:r>
      <w:r>
        <w:t>are:</w:t>
      </w:r>
      <w:r w:rsidR="00BD66D0" w:rsidRPr="00BD66D0">
        <w:rPr>
          <w:rStyle w:val="FootnoteReference"/>
        </w:rPr>
        <w:t xml:space="preserve"> </w:t>
      </w:r>
      <w:r w:rsidR="00BD66D0">
        <w:rPr>
          <w:rStyle w:val="FootnoteReference"/>
        </w:rPr>
        <w:footnoteReference w:id="2"/>
      </w:r>
    </w:p>
    <w:p w:rsidR="00A1146E" w:rsidRDefault="00AA71E8" w:rsidP="00A1146E">
      <w:pPr>
        <w:pStyle w:val="PPVQuoteBullet1"/>
      </w:pPr>
      <w:r>
        <w:t>Develop multi-modal transport corridors to connect with surrounding suburbs</w:t>
      </w:r>
    </w:p>
    <w:p w:rsidR="00A1146E" w:rsidRDefault="00AA71E8" w:rsidP="00A1146E">
      <w:pPr>
        <w:pStyle w:val="PPVQuoteBullet1"/>
      </w:pPr>
      <w:r>
        <w:t>Focus density around public transport nodes to encourage public transport use and promote commercial activity</w:t>
      </w:r>
    </w:p>
    <w:p w:rsidR="00AA71E8" w:rsidRDefault="00AA71E8" w:rsidP="00A1146E">
      <w:pPr>
        <w:pStyle w:val="PPVQuoteBullet1"/>
      </w:pPr>
      <w:r>
        <w:t>Celebrate North Port Oval as an anchor for the community</w:t>
      </w:r>
    </w:p>
    <w:p w:rsidR="00AA71E8" w:rsidRDefault="00AA71E8" w:rsidP="00A1146E">
      <w:pPr>
        <w:pStyle w:val="PPVQuoteBullet1"/>
      </w:pPr>
      <w:r>
        <w:t>Encourage master planning of large sites to promote through</w:t>
      </w:r>
      <w:r w:rsidR="00FF1251">
        <w:t xml:space="preserve"> </w:t>
      </w:r>
      <w:r>
        <w:t>block links and development of privately owned public spaces</w:t>
      </w:r>
    </w:p>
    <w:p w:rsidR="00AA71E8" w:rsidRDefault="00AA71E8" w:rsidP="00A1146E">
      <w:pPr>
        <w:pStyle w:val="PPVQuoteBullet1"/>
      </w:pPr>
      <w:r>
        <w:t>Support commercial development to grow jobs and take advantage of large land parcels</w:t>
      </w:r>
      <w:r w:rsidR="00620D13">
        <w:t>.</w:t>
      </w:r>
      <w:r w:rsidR="00620D13">
        <w:rPr>
          <w:rStyle w:val="FootnoteReference"/>
        </w:rPr>
        <w:footnoteReference w:id="3"/>
      </w:r>
    </w:p>
    <w:p w:rsidR="00443BFD" w:rsidRDefault="00A1146E" w:rsidP="00443BFD">
      <w:pPr>
        <w:pStyle w:val="PPVBody"/>
      </w:pPr>
      <w:r>
        <w:t xml:space="preserve">The target population is for </w:t>
      </w:r>
      <w:r w:rsidR="00170646">
        <w:t>29,600</w:t>
      </w:r>
      <w:r w:rsidR="003D0613" w:rsidRPr="003D0613">
        <w:t xml:space="preserve"> resident</w:t>
      </w:r>
      <w:r>
        <w:t xml:space="preserve">s in </w:t>
      </w:r>
      <w:r w:rsidR="00170646">
        <w:t xml:space="preserve">14,949 </w:t>
      </w:r>
      <w:r>
        <w:t xml:space="preserve">households, </w:t>
      </w:r>
      <w:r w:rsidR="009271C1">
        <w:t>with</w:t>
      </w:r>
      <w:r>
        <w:t xml:space="preserve"> a workforce of</w:t>
      </w:r>
      <w:r w:rsidR="00170646">
        <w:t xml:space="preserve"> 26,000</w:t>
      </w:r>
      <w:r w:rsidR="00443BFD" w:rsidRPr="003D0613">
        <w:t xml:space="preserve"> </w:t>
      </w:r>
      <w:r>
        <w:t>jobs by</w:t>
      </w:r>
      <w:r w:rsidR="00443BFD" w:rsidRPr="003D0613">
        <w:t xml:space="preserve"> 2050</w:t>
      </w:r>
      <w:r w:rsidR="00237965" w:rsidRPr="003D0613">
        <w:t>.</w:t>
      </w:r>
      <w:r w:rsidR="00237965" w:rsidRPr="003D0613">
        <w:rPr>
          <w:rStyle w:val="FootnoteReference"/>
        </w:rPr>
        <w:footnoteReference w:id="4"/>
      </w:r>
    </w:p>
    <w:p w:rsidR="008E1C42" w:rsidRDefault="00E508F1" w:rsidP="00B55256">
      <w:pPr>
        <w:pStyle w:val="Heading2"/>
      </w:pPr>
      <w:bookmarkStart w:id="33" w:name="_Toc519848970"/>
      <w:r>
        <w:t xml:space="preserve">Proposed </w:t>
      </w:r>
      <w:r w:rsidR="00BA473B">
        <w:t>u</w:t>
      </w:r>
      <w:r w:rsidR="008E1C42">
        <w:t xml:space="preserve">rban </w:t>
      </w:r>
      <w:r w:rsidR="00BA473B">
        <w:t>s</w:t>
      </w:r>
      <w:r w:rsidR="008E1C42">
        <w:t>tructure</w:t>
      </w:r>
      <w:bookmarkEnd w:id="33"/>
    </w:p>
    <w:p w:rsidR="008E1C42" w:rsidRDefault="0065432F" w:rsidP="00B55256">
      <w:pPr>
        <w:pStyle w:val="PPVBody"/>
        <w:keepNext/>
      </w:pPr>
      <w:r>
        <w:t xml:space="preserve">The proposed urban structure </w:t>
      </w:r>
      <w:r w:rsidR="008E1C42">
        <w:t xml:space="preserve">for the </w:t>
      </w:r>
      <w:r w:rsidR="00C1506B">
        <w:t>Sandridge</w:t>
      </w:r>
      <w:r w:rsidR="008E1C42">
        <w:t xml:space="preserve"> Precinct</w:t>
      </w:r>
      <w:r>
        <w:t xml:space="preserve"> is </w:t>
      </w:r>
      <w:r w:rsidR="00620D13">
        <w:t xml:space="preserve">set </w:t>
      </w:r>
      <w:r w:rsidR="00300F85" w:rsidRPr="00B1345F">
        <w:t xml:space="preserve">out in </w:t>
      </w:r>
      <w:r w:rsidR="00300F85">
        <w:fldChar w:fldCharType="begin"/>
      </w:r>
      <w:r w:rsidR="00300F85">
        <w:instrText xml:space="preserve"> REF _Ref519180513 \h </w:instrText>
      </w:r>
      <w:r w:rsidR="00300F85">
        <w:fldChar w:fldCharType="separate"/>
      </w:r>
      <w:r w:rsidR="00AA0E65">
        <w:t xml:space="preserve">Figure </w:t>
      </w:r>
      <w:r w:rsidR="00AA0E65">
        <w:rPr>
          <w:noProof/>
        </w:rPr>
        <w:t>3</w:t>
      </w:r>
      <w:r w:rsidR="00300F85">
        <w:fldChar w:fldCharType="end"/>
      </w:r>
      <w:r w:rsidR="00BD66D0">
        <w:t xml:space="preserve"> and is proposed by the Minister to be included in the CCZ Schedule</w:t>
      </w:r>
      <w:r w:rsidR="00300F85">
        <w:t>.</w:t>
      </w:r>
    </w:p>
    <w:p w:rsidR="00CF04E6" w:rsidRDefault="00CF04E6" w:rsidP="00CF04E6">
      <w:pPr>
        <w:pStyle w:val="Caption"/>
      </w:pPr>
      <w:bookmarkStart w:id="34" w:name="_Ref519180513"/>
      <w:bookmarkStart w:id="35" w:name="_Toc519849016"/>
      <w:r>
        <w:t xml:space="preserve">Figure </w:t>
      </w:r>
      <w:r>
        <w:rPr>
          <w:noProof/>
        </w:rPr>
        <w:fldChar w:fldCharType="begin"/>
      </w:r>
      <w:r>
        <w:rPr>
          <w:noProof/>
        </w:rPr>
        <w:instrText xml:space="preserve"> SEQ Figure \* ARABIC </w:instrText>
      </w:r>
      <w:r>
        <w:rPr>
          <w:noProof/>
        </w:rPr>
        <w:fldChar w:fldCharType="separate"/>
      </w:r>
      <w:r w:rsidR="00AA0E65">
        <w:rPr>
          <w:noProof/>
        </w:rPr>
        <w:t>3</w:t>
      </w:r>
      <w:r>
        <w:rPr>
          <w:noProof/>
        </w:rPr>
        <w:fldChar w:fldCharType="end"/>
      </w:r>
      <w:bookmarkEnd w:id="34"/>
      <w:r w:rsidR="00140D84">
        <w:rPr>
          <w:noProof/>
        </w:rPr>
        <w:t>:</w:t>
      </w:r>
      <w:r>
        <w:tab/>
      </w:r>
      <w:r w:rsidR="00761ACC">
        <w:t>Proposed u</w:t>
      </w:r>
      <w:r w:rsidR="004F33A5">
        <w:t>rban structure</w:t>
      </w:r>
      <w:r w:rsidR="00761ACC">
        <w:t xml:space="preserve"> –</w:t>
      </w:r>
      <w:r w:rsidR="004F33A5">
        <w:t xml:space="preserve"> Sandrid</w:t>
      </w:r>
      <w:r>
        <w:t>ge</w:t>
      </w:r>
      <w:r w:rsidR="00761ACC">
        <w:t xml:space="preserve"> Precinct</w:t>
      </w:r>
      <w:bookmarkEnd w:id="35"/>
    </w:p>
    <w:p w:rsidR="008E1C42" w:rsidRDefault="00F6473A" w:rsidP="008E1C42">
      <w:pPr>
        <w:pStyle w:val="PPVBody"/>
      </w:pPr>
      <w:r w:rsidRPr="006A71D4">
        <w:rPr>
          <w:noProof/>
        </w:rPr>
        <w:drawing>
          <wp:inline distT="0" distB="0" distL="0" distR="0" wp14:anchorId="1FA0170E" wp14:editId="5BA13798">
            <wp:extent cx="5748793" cy="4046085"/>
            <wp:effectExtent l="0" t="0" r="4445" b="0"/>
            <wp:docPr id="3" name="Picture 3" descr="\\internal.vic.gov.au\DEPI\HomeDirs1\jm7p\Desktop\Sandridge C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EPI\HomeDirs1\jm7p\Desktop\Sandridge CCZ.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52" t="13959" r="9977" b="2260"/>
                    <a:stretch/>
                  </pic:blipFill>
                  <pic:spPr bwMode="auto">
                    <a:xfrm>
                      <a:off x="0" y="0"/>
                      <a:ext cx="5751254" cy="4047817"/>
                    </a:xfrm>
                    <a:prstGeom prst="rect">
                      <a:avLst/>
                    </a:prstGeom>
                    <a:noFill/>
                    <a:ln>
                      <a:noFill/>
                    </a:ln>
                    <a:extLst>
                      <a:ext uri="{53640926-AAD7-44D8-BBD7-CCE9431645EC}">
                        <a14:shadowObscured xmlns:a14="http://schemas.microsoft.com/office/drawing/2010/main"/>
                      </a:ext>
                    </a:extLst>
                  </pic:spPr>
                </pic:pic>
              </a:graphicData>
            </a:graphic>
          </wp:inline>
        </w:drawing>
      </w:r>
    </w:p>
    <w:p w:rsidR="00620D13" w:rsidRDefault="00F6473A" w:rsidP="00620D13">
      <w:pPr>
        <w:pStyle w:val="PPVSource"/>
      </w:pPr>
      <w:r>
        <w:t xml:space="preserve">Source: </w:t>
      </w:r>
      <w:r w:rsidR="0066202F">
        <w:t xml:space="preserve">Replacement </w:t>
      </w:r>
      <w:r>
        <w:t>Part C Control maps</w:t>
      </w:r>
      <w:r w:rsidR="0066202F">
        <w:t xml:space="preserve"> (D317)</w:t>
      </w:r>
    </w:p>
    <w:p w:rsidR="00620D13" w:rsidRDefault="00FD3278" w:rsidP="00620D13">
      <w:pPr>
        <w:pStyle w:val="PPVBody"/>
      </w:pPr>
      <w:r>
        <w:t xml:space="preserve">The </w:t>
      </w:r>
      <w:r w:rsidR="003B5FA1">
        <w:t>Fennel–Plummer Street boulevard</w:t>
      </w:r>
      <w:r>
        <w:t xml:space="preserve"> is intended to provide a key focal point for t</w:t>
      </w:r>
      <w:r w:rsidR="003B5FA1">
        <w:t>he Precinct</w:t>
      </w:r>
      <w:r>
        <w:t xml:space="preserve">, with diverse tower forms for residents and workers, and the potential for a future </w:t>
      </w:r>
      <w:r w:rsidR="00BA473B">
        <w:t>M</w:t>
      </w:r>
      <w:r>
        <w:t xml:space="preserve">etro </w:t>
      </w:r>
      <w:r w:rsidR="00BA473B">
        <w:t>S</w:t>
      </w:r>
      <w:r>
        <w:t>tation.</w:t>
      </w:r>
    </w:p>
    <w:p w:rsidR="00FD3278" w:rsidRDefault="00FD3278" w:rsidP="00620D13">
      <w:pPr>
        <w:pStyle w:val="PPVBody"/>
      </w:pPr>
      <w:r>
        <w:t>Connectivity within Sandridge and to other precincts is proposed to be achieved through the completion of a network of boulevards, laneways, and shared paths linking open spaces and connecting with Lorimer to the north.</w:t>
      </w:r>
    </w:p>
    <w:p w:rsidR="001B340C" w:rsidRDefault="00E508F1" w:rsidP="001B340C">
      <w:pPr>
        <w:pStyle w:val="Heading2"/>
      </w:pPr>
      <w:bookmarkStart w:id="36" w:name="_Toc519848971"/>
      <w:r>
        <w:t xml:space="preserve">Proposed </w:t>
      </w:r>
      <w:r w:rsidR="00761ACC">
        <w:t>b</w:t>
      </w:r>
      <w:r w:rsidR="001B340C">
        <w:t>uilt form</w:t>
      </w:r>
      <w:bookmarkEnd w:id="36"/>
    </w:p>
    <w:p w:rsidR="008A083A" w:rsidRDefault="001B340C" w:rsidP="001B340C">
      <w:pPr>
        <w:pStyle w:val="PPVBody"/>
      </w:pPr>
      <w:r w:rsidRPr="001B340C">
        <w:t xml:space="preserve">The </w:t>
      </w:r>
      <w:r w:rsidRPr="0054678B">
        <w:rPr>
          <w:i/>
        </w:rPr>
        <w:t>Urban Design Strategy</w:t>
      </w:r>
      <w:r w:rsidRPr="001B340C">
        <w:t xml:space="preserve"> defines the preferred building typology in </w:t>
      </w:r>
      <w:r w:rsidR="00C1506B">
        <w:t>Sandridge</w:t>
      </w:r>
      <w:r w:rsidRPr="001B340C">
        <w:t xml:space="preserve"> as follows:</w:t>
      </w:r>
    </w:p>
    <w:p w:rsidR="001B340C" w:rsidRDefault="00BD1788" w:rsidP="001B340C">
      <w:pPr>
        <w:pStyle w:val="PPVQuote"/>
      </w:pPr>
      <w:r>
        <w:t>Tower developments are supported within the activity cores to create a high-density mixed</w:t>
      </w:r>
      <w:r w:rsidR="00FF1251">
        <w:t xml:space="preserve"> </w:t>
      </w:r>
      <w:r>
        <w:t>use precinct with significant job growth</w:t>
      </w:r>
      <w:r w:rsidR="006D35B9">
        <w:t>.  T</w:t>
      </w:r>
      <w:r>
        <w:t>hese heights are reduced on specific sites to protect existing and proposed open spaces from being overshadowed</w:t>
      </w:r>
      <w:r w:rsidR="006D35B9">
        <w:t>.  O</w:t>
      </w:r>
      <w:r>
        <w:t>utsid</w:t>
      </w:r>
      <w:r w:rsidR="000A4519">
        <w:t>e of the core area a range of 6–</w:t>
      </w:r>
      <w:r>
        <w:t>24 storey development is supported to encourage a diversity of housing and create variety of character areas throughout this large precinct</w:t>
      </w:r>
      <w:r w:rsidR="006D35B9">
        <w:t>.  A</w:t>
      </w:r>
      <w:r>
        <w:t xml:space="preserve"> 4 storey mandatory height limit is retained along Williamstown Road, although the depth of this tr</w:t>
      </w:r>
      <w:r w:rsidR="000A4519">
        <w:t>ansition zone has been reduced.</w:t>
      </w:r>
      <w:r w:rsidR="00237965">
        <w:rPr>
          <w:rStyle w:val="FootnoteReference"/>
        </w:rPr>
        <w:footnoteReference w:id="5"/>
      </w:r>
    </w:p>
    <w:p w:rsidR="005B36E5" w:rsidRPr="00D82C3F" w:rsidRDefault="00F73FDD" w:rsidP="0046608F">
      <w:pPr>
        <w:pStyle w:val="PPVBody"/>
      </w:pPr>
      <w:r>
        <w:t xml:space="preserve">A large portion of Sandridge </w:t>
      </w:r>
      <w:r w:rsidR="00FE5EED">
        <w:t xml:space="preserve">(both core and non-core areas) </w:t>
      </w:r>
      <w:r>
        <w:t>is identified for high-rise development</w:t>
      </w:r>
      <w:r w:rsidR="00761ACC">
        <w:t>,</w:t>
      </w:r>
      <w:r>
        <w:t xml:space="preserve"> consistent with is role as an employment centre.  </w:t>
      </w:r>
      <w:r w:rsidR="005B36E5" w:rsidRPr="00D82C3F">
        <w:t xml:space="preserve">The proposed DDO schedule provides for </w:t>
      </w:r>
      <w:r w:rsidR="00F6473A">
        <w:t xml:space="preserve">maximum building heights ranging from </w:t>
      </w:r>
      <w:r w:rsidR="000A4519">
        <w:t>six</w:t>
      </w:r>
      <w:r w:rsidR="00F6473A">
        <w:t xml:space="preserve"> storeys along Williamstown Road to unlimited in the northern area near the </w:t>
      </w:r>
      <w:r>
        <w:t>West Gate F</w:t>
      </w:r>
      <w:r w:rsidR="00F6473A">
        <w:t>reeway</w:t>
      </w:r>
      <w:r w:rsidR="00761ACC">
        <w:t xml:space="preserve"> (matched to the unlimited heights in Lorimer to the north of the </w:t>
      </w:r>
      <w:r w:rsidR="00E01D09">
        <w:t>F</w:t>
      </w:r>
      <w:r w:rsidR="00761ACC">
        <w:t>reeway)</w:t>
      </w:r>
      <w:r w:rsidR="00F6473A">
        <w:t>.</w:t>
      </w:r>
    </w:p>
    <w:p w:rsidR="00854CF9" w:rsidRDefault="00854CF9" w:rsidP="00854CF9">
      <w:pPr>
        <w:pStyle w:val="Heading2"/>
      </w:pPr>
      <w:bookmarkStart w:id="37" w:name="_Toc519848972"/>
      <w:r>
        <w:t>Key issues</w:t>
      </w:r>
      <w:bookmarkEnd w:id="37"/>
    </w:p>
    <w:p w:rsidR="00854CF9" w:rsidRDefault="00854CF9" w:rsidP="00854CF9">
      <w:pPr>
        <w:pStyle w:val="PPVBody"/>
      </w:pPr>
      <w:r>
        <w:t xml:space="preserve">During the course of the </w:t>
      </w:r>
      <w:r w:rsidR="00C1506B">
        <w:t>Sandridge</w:t>
      </w:r>
      <w:r>
        <w:t xml:space="preserve"> hearings, th</w:t>
      </w:r>
      <w:r w:rsidR="00025926">
        <w:t>e key issues raised related to</w:t>
      </w:r>
      <w:r>
        <w:t>:</w:t>
      </w:r>
    </w:p>
    <w:p w:rsidR="00622A73" w:rsidRPr="00622A73" w:rsidRDefault="00761ACC" w:rsidP="0054678B">
      <w:pPr>
        <w:pStyle w:val="PPVBullet1"/>
      </w:pPr>
      <w:r>
        <w:rPr>
          <w:noProof/>
        </w:rPr>
        <w:t>u</w:t>
      </w:r>
      <w:r w:rsidR="00622A73" w:rsidRPr="00622A73">
        <w:rPr>
          <w:noProof/>
        </w:rPr>
        <w:t>rban structure and built form</w:t>
      </w:r>
    </w:p>
    <w:p w:rsidR="00622A73" w:rsidRPr="00622A73" w:rsidRDefault="00761ACC" w:rsidP="00622A73">
      <w:pPr>
        <w:pStyle w:val="PPVBullet1"/>
      </w:pPr>
      <w:r>
        <w:rPr>
          <w:noProof/>
        </w:rPr>
        <w:t>l</w:t>
      </w:r>
      <w:r w:rsidR="00622A73" w:rsidRPr="00622A73">
        <w:rPr>
          <w:noProof/>
        </w:rPr>
        <w:t>ocation of open space</w:t>
      </w:r>
    </w:p>
    <w:p w:rsidR="00622A73" w:rsidRPr="00622A73" w:rsidRDefault="00761ACC" w:rsidP="00622A73">
      <w:pPr>
        <w:pStyle w:val="PPVBullet1"/>
      </w:pPr>
      <w:r>
        <w:rPr>
          <w:noProof/>
        </w:rPr>
        <w:t>l</w:t>
      </w:r>
      <w:r w:rsidR="00622A73" w:rsidRPr="00622A73">
        <w:rPr>
          <w:noProof/>
        </w:rPr>
        <w:t>ocation of community hubs</w:t>
      </w:r>
    </w:p>
    <w:p w:rsidR="00622A73" w:rsidRPr="00622A73" w:rsidRDefault="00761ACC" w:rsidP="00622A73">
      <w:pPr>
        <w:pStyle w:val="PPVBullet1"/>
      </w:pPr>
      <w:r>
        <w:rPr>
          <w:noProof/>
        </w:rPr>
        <w:t>r</w:t>
      </w:r>
      <w:r w:rsidR="00622A73" w:rsidRPr="00622A73">
        <w:rPr>
          <w:noProof/>
        </w:rPr>
        <w:t>oads and transport infrastructure</w:t>
      </w:r>
    </w:p>
    <w:p w:rsidR="00622A73" w:rsidRPr="00622A73" w:rsidRDefault="00761ACC" w:rsidP="00622A73">
      <w:pPr>
        <w:pStyle w:val="PPVBullet1"/>
      </w:pPr>
      <w:r>
        <w:rPr>
          <w:noProof/>
        </w:rPr>
        <w:t>s</w:t>
      </w:r>
      <w:r w:rsidR="00622A73" w:rsidRPr="00622A73">
        <w:rPr>
          <w:noProof/>
        </w:rPr>
        <w:t>ite specific issues</w:t>
      </w:r>
    </w:p>
    <w:p w:rsidR="00391CB6" w:rsidRDefault="00391CB6" w:rsidP="00391CB6">
      <w:pPr>
        <w:pStyle w:val="PPVBody"/>
      </w:pPr>
      <w:bookmarkStart w:id="38" w:name="_Toc518403065"/>
      <w:bookmarkEnd w:id="31"/>
      <w:r>
        <w:t xml:space="preserve">The </w:t>
      </w:r>
      <w:r w:rsidR="001D202A">
        <w:t>Review Panel</w:t>
      </w:r>
      <w:r>
        <w:t xml:space="preserve"> notes that most </w:t>
      </w:r>
      <w:r w:rsidR="001D202A">
        <w:t>submissions raised general as well as site specific issues.</w:t>
      </w:r>
      <w:r w:rsidR="00761ACC">
        <w:t xml:space="preserve">  </w:t>
      </w:r>
      <w:r w:rsidR="001D202A">
        <w:t xml:space="preserve">General issues are dealt with in the Overview </w:t>
      </w:r>
      <w:r w:rsidR="00BA473B">
        <w:t>R</w:t>
      </w:r>
      <w:r w:rsidR="001D202A">
        <w:t>eport.</w:t>
      </w:r>
    </w:p>
    <w:p w:rsidR="008A083A" w:rsidRPr="00391CB6" w:rsidRDefault="000F6CEE" w:rsidP="00A77249">
      <w:pPr>
        <w:pStyle w:val="Heading1"/>
      </w:pPr>
      <w:bookmarkStart w:id="39" w:name="_Toc519848973"/>
      <w:r w:rsidRPr="00391CB6">
        <w:t>Urban structure and built form</w:t>
      </w:r>
      <w:bookmarkEnd w:id="38"/>
      <w:bookmarkEnd w:id="39"/>
    </w:p>
    <w:p w:rsidR="008A083A" w:rsidRDefault="000F6CEE" w:rsidP="000F6CEE">
      <w:pPr>
        <w:pStyle w:val="Heading2"/>
      </w:pPr>
      <w:bookmarkStart w:id="40" w:name="_Toc518403066"/>
      <w:bookmarkStart w:id="41" w:name="_Toc519848974"/>
      <w:r>
        <w:t>Context</w:t>
      </w:r>
      <w:bookmarkEnd w:id="40"/>
      <w:bookmarkEnd w:id="41"/>
    </w:p>
    <w:p w:rsidR="004C463E" w:rsidRDefault="004C463E" w:rsidP="00300F85">
      <w:pPr>
        <w:pStyle w:val="PPVBody"/>
      </w:pPr>
      <w:r>
        <w:t>The Sa</w:t>
      </w:r>
      <w:r w:rsidR="00300F85">
        <w:t>n</w:t>
      </w:r>
      <w:r>
        <w:t xml:space="preserve">dridge </w:t>
      </w:r>
      <w:r w:rsidR="00300F85">
        <w:t>P</w:t>
      </w:r>
      <w:r>
        <w:t xml:space="preserve">recinct will be served by </w:t>
      </w:r>
      <w:r w:rsidR="00300F85">
        <w:t xml:space="preserve">a proposed </w:t>
      </w:r>
      <w:r w:rsidR="00BA473B">
        <w:t>M</w:t>
      </w:r>
      <w:r w:rsidR="00300F85">
        <w:t xml:space="preserve">etro </w:t>
      </w:r>
      <w:r w:rsidR="00BA473B">
        <w:t>S</w:t>
      </w:r>
      <w:r w:rsidR="00300F85">
        <w:t xml:space="preserve">tation and trams along the </w:t>
      </w:r>
      <w:r w:rsidR="003B5FA1">
        <w:t>Fennel–Plummer Street boulevard</w:t>
      </w:r>
      <w:r w:rsidR="00300F85">
        <w:t xml:space="preserve">.  It is envisaged that </w:t>
      </w:r>
      <w:r>
        <w:t xml:space="preserve">Sandridge </w:t>
      </w:r>
      <w:r w:rsidR="00300F85">
        <w:t>will develop as</w:t>
      </w:r>
      <w:r>
        <w:t xml:space="preserve"> one of Melbourne’s premium office and commercial centres, balanced with diverse housing and retail.</w:t>
      </w:r>
      <w:r w:rsidR="00300F85">
        <w:t xml:space="preserve">  The existing </w:t>
      </w:r>
      <w:r>
        <w:t xml:space="preserve">North Port Oval </w:t>
      </w:r>
      <w:r w:rsidR="00300F85">
        <w:t>will be exp</w:t>
      </w:r>
      <w:r w:rsidR="00FE5EED">
        <w:t>a</w:t>
      </w:r>
      <w:r w:rsidR="00300F85">
        <w:t>nded and serve as</w:t>
      </w:r>
      <w:r>
        <w:t xml:space="preserve"> an anchor for community</w:t>
      </w:r>
      <w:r w:rsidR="00300F85">
        <w:t xml:space="preserve"> activit</w:t>
      </w:r>
      <w:r w:rsidR="00FE5EED">
        <w:t>ies</w:t>
      </w:r>
      <w:r w:rsidR="00300F85">
        <w:t>.</w:t>
      </w:r>
    </w:p>
    <w:p w:rsidR="0037794F" w:rsidRDefault="0037794F" w:rsidP="0037794F">
      <w:pPr>
        <w:pStyle w:val="Heading4"/>
      </w:pPr>
      <w:r>
        <w:t>Building heights</w:t>
      </w:r>
    </w:p>
    <w:p w:rsidR="00D00D40" w:rsidRDefault="00D00D40" w:rsidP="0037794F">
      <w:pPr>
        <w:pStyle w:val="PPVBody"/>
      </w:pPr>
      <w:r>
        <w:t xml:space="preserve">Five subprecincts are identified in Sandridge. These are shown in </w:t>
      </w:r>
      <w:r>
        <w:fldChar w:fldCharType="begin"/>
      </w:r>
      <w:r>
        <w:instrText xml:space="preserve"> REF _Ref519672912 \h </w:instrText>
      </w:r>
      <w:r>
        <w:fldChar w:fldCharType="separate"/>
      </w:r>
      <w:r w:rsidR="00AA0E65">
        <w:t xml:space="preserve">Figure </w:t>
      </w:r>
      <w:r w:rsidR="00AA0E65">
        <w:rPr>
          <w:noProof/>
        </w:rPr>
        <w:t>4</w:t>
      </w:r>
      <w:r>
        <w:fldChar w:fldCharType="end"/>
      </w:r>
      <w:r>
        <w:t>:</w:t>
      </w:r>
    </w:p>
    <w:p w:rsidR="00D00D40" w:rsidRDefault="00D00D40" w:rsidP="00D00D40">
      <w:pPr>
        <w:pStyle w:val="Caption"/>
      </w:pPr>
      <w:bookmarkStart w:id="42" w:name="_Ref519672912"/>
      <w:bookmarkStart w:id="43" w:name="_Ref519672893"/>
      <w:bookmarkStart w:id="44" w:name="_Toc519849017"/>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4</w:t>
      </w:r>
      <w:r w:rsidR="009271C1">
        <w:rPr>
          <w:noProof/>
        </w:rPr>
        <w:fldChar w:fldCharType="end"/>
      </w:r>
      <w:bookmarkEnd w:id="42"/>
      <w:r>
        <w:t>:</w:t>
      </w:r>
      <w:r>
        <w:tab/>
        <w:t>Sandridge subprecinct map</w:t>
      </w:r>
      <w:bookmarkEnd w:id="43"/>
      <w:bookmarkEnd w:id="44"/>
    </w:p>
    <w:p w:rsidR="00D00D40" w:rsidRDefault="00D00D40" w:rsidP="00D00D40">
      <w:pPr>
        <w:pStyle w:val="PPVSource"/>
      </w:pPr>
      <w:r>
        <w:rPr>
          <w:noProof/>
        </w:rPr>
        <w:drawing>
          <wp:inline distT="0" distB="0" distL="0" distR="0" wp14:anchorId="4C8C470D" wp14:editId="1B7038C5">
            <wp:extent cx="4866199" cy="318100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7289" cy="3214402"/>
                    </a:xfrm>
                    <a:prstGeom prst="rect">
                      <a:avLst/>
                    </a:prstGeom>
                  </pic:spPr>
                </pic:pic>
              </a:graphicData>
            </a:graphic>
          </wp:inline>
        </w:drawing>
      </w:r>
    </w:p>
    <w:p w:rsidR="00506440" w:rsidRPr="00506440" w:rsidRDefault="00506440" w:rsidP="00506440">
      <w:pPr>
        <w:pStyle w:val="PPVSource"/>
        <w:rPr>
          <w:rStyle w:val="Mapcode"/>
          <w:rFonts w:ascii="Calibri" w:hAnsi="Calibri"/>
          <w:b w:val="0"/>
        </w:rPr>
      </w:pPr>
      <w:r w:rsidRPr="00506440">
        <w:rPr>
          <w:rStyle w:val="Mapcode"/>
          <w:rFonts w:ascii="Calibri" w:hAnsi="Calibri"/>
          <w:b w:val="0"/>
        </w:rPr>
        <w:t>Source: Replacement Part C Maps (D307)</w:t>
      </w:r>
    </w:p>
    <w:p w:rsidR="00C14BF2" w:rsidRDefault="009862C7" w:rsidP="00C14BF2">
      <w:pPr>
        <w:pStyle w:val="PPVBody"/>
      </w:pPr>
      <w:r>
        <w:t xml:space="preserve">Proposed heights are set out in </w:t>
      </w:r>
      <w:r>
        <w:fldChar w:fldCharType="begin"/>
      </w:r>
      <w:r>
        <w:instrText xml:space="preserve"> REF _Ref519180822 \h </w:instrText>
      </w:r>
      <w:r>
        <w:fldChar w:fldCharType="separate"/>
      </w:r>
      <w:r w:rsidR="00AA0E65">
        <w:t xml:space="preserve">Figure </w:t>
      </w:r>
      <w:r w:rsidR="00AA0E65">
        <w:rPr>
          <w:noProof/>
        </w:rPr>
        <w:t>5</w:t>
      </w:r>
      <w:r>
        <w:fldChar w:fldCharType="end"/>
      </w:r>
      <w:r>
        <w:t>.</w:t>
      </w:r>
      <w:r w:rsidR="00C14BF2">
        <w:t xml:space="preserve">  Building heights in the core are proposed to vary from 12 to an unlimited number of storeys and in the non-core are predominantly 24 storeys but transitioning to the lower built form at Williamstown Road and the North Port Oval.</w:t>
      </w:r>
    </w:p>
    <w:p w:rsidR="0037794F" w:rsidRDefault="0037794F" w:rsidP="0037794F">
      <w:pPr>
        <w:pStyle w:val="Caption"/>
      </w:pPr>
      <w:bookmarkStart w:id="45" w:name="_Ref519180822"/>
      <w:bookmarkStart w:id="46" w:name="_Toc519849018"/>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5</w:t>
      </w:r>
      <w:r w:rsidR="009271C1">
        <w:rPr>
          <w:noProof/>
        </w:rPr>
        <w:fldChar w:fldCharType="end"/>
      </w:r>
      <w:bookmarkEnd w:id="45"/>
      <w:r w:rsidR="00140D84">
        <w:rPr>
          <w:noProof/>
        </w:rPr>
        <w:t>:</w:t>
      </w:r>
      <w:r>
        <w:tab/>
        <w:t>Proposed building heights in Sandridge</w:t>
      </w:r>
      <w:bookmarkEnd w:id="46"/>
    </w:p>
    <w:p w:rsidR="009862C7" w:rsidRDefault="009862C7" w:rsidP="00BA473B">
      <w:pPr>
        <w:pStyle w:val="PPVBody"/>
        <w:rPr>
          <w:rStyle w:val="Mapcode"/>
          <w:b w:val="0"/>
          <w:bCs/>
        </w:rPr>
      </w:pPr>
      <w:r>
        <w:rPr>
          <w:noProof/>
        </w:rPr>
        <w:drawing>
          <wp:inline distT="0" distB="0" distL="0" distR="0" wp14:anchorId="28CE4EB0" wp14:editId="0DAD8298">
            <wp:extent cx="5029200" cy="2753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2753995"/>
                    </a:xfrm>
                    <a:prstGeom prst="rect">
                      <a:avLst/>
                    </a:prstGeom>
                    <a:noFill/>
                    <a:ln>
                      <a:noFill/>
                    </a:ln>
                  </pic:spPr>
                </pic:pic>
              </a:graphicData>
            </a:graphic>
          </wp:inline>
        </w:drawing>
      </w:r>
    </w:p>
    <w:p w:rsidR="009862C7" w:rsidRDefault="009862C7" w:rsidP="009862C7">
      <w:pPr>
        <w:pStyle w:val="BodyText"/>
        <w:rPr>
          <w:rStyle w:val="Mapcode"/>
          <w:b/>
          <w:bCs/>
        </w:rPr>
      </w:pPr>
      <w:r>
        <w:rPr>
          <w:noProof/>
        </w:rPr>
        <w:drawing>
          <wp:inline distT="0" distB="0" distL="0" distR="0" wp14:anchorId="5477ADBA" wp14:editId="0E508E5E">
            <wp:extent cx="5380355" cy="1350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0355" cy="1350645"/>
                    </a:xfrm>
                    <a:prstGeom prst="rect">
                      <a:avLst/>
                    </a:prstGeom>
                    <a:noFill/>
                    <a:ln>
                      <a:noFill/>
                    </a:ln>
                  </pic:spPr>
                </pic:pic>
              </a:graphicData>
            </a:graphic>
          </wp:inline>
        </w:drawing>
      </w:r>
    </w:p>
    <w:p w:rsidR="00506440" w:rsidRPr="00506440" w:rsidRDefault="00506440" w:rsidP="00506440">
      <w:pPr>
        <w:pStyle w:val="PPVSource"/>
        <w:rPr>
          <w:rStyle w:val="Mapcode"/>
          <w:rFonts w:ascii="Calibri" w:hAnsi="Calibri"/>
          <w:b w:val="0"/>
        </w:rPr>
      </w:pPr>
      <w:r w:rsidRPr="00506440">
        <w:rPr>
          <w:rStyle w:val="Mapcode"/>
          <w:rFonts w:ascii="Calibri" w:hAnsi="Calibri"/>
          <w:b w:val="0"/>
        </w:rPr>
        <w:t>Source: Replacement Part C Maps (D307)</w:t>
      </w:r>
    </w:p>
    <w:p w:rsidR="000F6CEE" w:rsidRDefault="000F6CEE" w:rsidP="000F6CEE">
      <w:pPr>
        <w:pStyle w:val="Heading4"/>
      </w:pPr>
      <w:r>
        <w:t>Street wall heights</w:t>
      </w:r>
    </w:p>
    <w:p w:rsidR="00C14BF2" w:rsidRPr="00275157" w:rsidRDefault="00C14BF2" w:rsidP="00C14BF2">
      <w:pPr>
        <w:pStyle w:val="PPVBody"/>
        <w:rPr>
          <w:rFonts w:eastAsia="Calibri"/>
        </w:rPr>
      </w:pPr>
      <w:r>
        <w:t>There is no minimum ground level setback along street frontages for most of the Precinct.  The draft Amendment requires g</w:t>
      </w:r>
      <w:r w:rsidRPr="00275157">
        <w:rPr>
          <w:rFonts w:eastAsia="Calibri"/>
        </w:rPr>
        <w:t xml:space="preserve">round floor residential uses in </w:t>
      </w:r>
      <w:r>
        <w:rPr>
          <w:rFonts w:eastAsia="Calibri"/>
        </w:rPr>
        <w:t>non-core</w:t>
      </w:r>
      <w:r w:rsidRPr="00275157">
        <w:rPr>
          <w:rFonts w:eastAsia="Calibri"/>
        </w:rPr>
        <w:t xml:space="preserve"> areas</w:t>
      </w:r>
      <w:r w:rsidR="00FE5EED">
        <w:rPr>
          <w:rFonts w:eastAsia="Calibri"/>
        </w:rPr>
        <w:t xml:space="preserve"> that are </w:t>
      </w:r>
      <w:r>
        <w:rPr>
          <w:rFonts w:eastAsia="Calibri"/>
        </w:rPr>
        <w:t>not</w:t>
      </w:r>
      <w:r w:rsidRPr="00275157">
        <w:rPr>
          <w:rFonts w:eastAsia="Calibri"/>
        </w:rPr>
        <w:t xml:space="preserve"> on secondary active frontages</w:t>
      </w:r>
      <w:r w:rsidR="00FE5EED">
        <w:rPr>
          <w:rFonts w:eastAsia="Calibri"/>
        </w:rPr>
        <w:t xml:space="preserve"> to </w:t>
      </w:r>
      <w:r w:rsidRPr="00275157">
        <w:rPr>
          <w:rFonts w:eastAsia="Calibri"/>
        </w:rPr>
        <w:t>be se</w:t>
      </w:r>
      <w:r>
        <w:rPr>
          <w:rFonts w:eastAsia="Calibri"/>
        </w:rPr>
        <w:t>t</w:t>
      </w:r>
      <w:r w:rsidR="00FE5EED">
        <w:rPr>
          <w:rFonts w:eastAsia="Calibri"/>
        </w:rPr>
        <w:t xml:space="preserve"> </w:t>
      </w:r>
      <w:r>
        <w:rPr>
          <w:rFonts w:eastAsia="Calibri"/>
        </w:rPr>
        <w:t xml:space="preserve">back 3 metres from the street </w:t>
      </w:r>
      <w:r w:rsidRPr="00275157">
        <w:rPr>
          <w:rFonts w:eastAsia="Calibri"/>
        </w:rPr>
        <w:t xml:space="preserve">to facilitate </w:t>
      </w:r>
      <w:r w:rsidR="00FE5EED">
        <w:rPr>
          <w:rFonts w:eastAsia="Calibri"/>
        </w:rPr>
        <w:t xml:space="preserve">a </w:t>
      </w:r>
      <w:r w:rsidRPr="00275157">
        <w:rPr>
          <w:rFonts w:eastAsia="Calibri"/>
        </w:rPr>
        <w:t>landscaped transition from the street to ground floor apartments.</w:t>
      </w:r>
    </w:p>
    <w:p w:rsidR="00C14BF2" w:rsidRDefault="00C14BF2" w:rsidP="00C14BF2">
      <w:pPr>
        <w:pStyle w:val="PPVBody"/>
      </w:pPr>
      <w:r>
        <w:rPr>
          <w:rFonts w:eastAsia="Calibri"/>
        </w:rPr>
        <w:t>For corner sites</w:t>
      </w:r>
      <w:r w:rsidR="00FE5EED">
        <w:rPr>
          <w:rFonts w:eastAsia="Calibri"/>
        </w:rPr>
        <w:t>,</w:t>
      </w:r>
      <w:r>
        <w:rPr>
          <w:rFonts w:eastAsia="Calibri"/>
        </w:rPr>
        <w:t xml:space="preserve"> i</w:t>
      </w:r>
      <w:r w:rsidRPr="009A124F">
        <w:rPr>
          <w:rFonts w:eastAsia="Calibri"/>
        </w:rPr>
        <w:t>f both streets are wider than 22 metres a Maximum street wall height of 18 storeys applies for 25 metres along each street frontage.</w:t>
      </w:r>
    </w:p>
    <w:p w:rsidR="00C14BF2" w:rsidRDefault="00C14BF2" w:rsidP="00C14BF2">
      <w:pPr>
        <w:pStyle w:val="PPVBody"/>
      </w:pPr>
      <w:r>
        <w:t xml:space="preserve">The controls require the street wall to </w:t>
      </w:r>
      <w:r w:rsidRPr="00275157">
        <w:rPr>
          <w:rFonts w:eastAsia="Calibri"/>
        </w:rPr>
        <w:t xml:space="preserve">respond to </w:t>
      </w:r>
      <w:r>
        <w:rPr>
          <w:rFonts w:eastAsia="Calibri"/>
        </w:rPr>
        <w:t xml:space="preserve">any </w:t>
      </w:r>
      <w:r w:rsidRPr="00275157">
        <w:rPr>
          <w:rFonts w:eastAsia="Calibri"/>
        </w:rPr>
        <w:t>adjoining heritage places</w:t>
      </w:r>
    </w:p>
    <w:p w:rsidR="008A083A" w:rsidRDefault="000F6CEE" w:rsidP="000F6CEE">
      <w:pPr>
        <w:pStyle w:val="PPVBody"/>
      </w:pPr>
      <w:r>
        <w:t>Street wall height restrictions are proposed to ensure appropriately scaled and distinct street wall effects, street enclosure, sky views, transition to heritage places and adequate sunlight access to streets and open space.  Proposed street wall heights vary depending on location.</w:t>
      </w:r>
    </w:p>
    <w:p w:rsidR="000F6CEE" w:rsidRPr="00D41999" w:rsidRDefault="000F6CEE" w:rsidP="000F6CEE">
      <w:pPr>
        <w:pStyle w:val="Caption"/>
      </w:pPr>
      <w:r>
        <w:t>Table 3:</w:t>
      </w:r>
      <w:r>
        <w:tab/>
        <w:t>Sandridge street wall hei</w:t>
      </w:r>
      <w:r w:rsidR="00CF04E6">
        <w:t>ght</w:t>
      </w:r>
    </w:p>
    <w:tbl>
      <w:tblPr>
        <w:tblStyle w:val="TableGrid"/>
        <w:tblW w:w="9214"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836"/>
        <w:gridCol w:w="2126"/>
        <w:gridCol w:w="1837"/>
        <w:gridCol w:w="2415"/>
      </w:tblGrid>
      <w:tr w:rsidR="000F6CEE" w:rsidTr="00D430C3">
        <w:trPr>
          <w:cantSplit/>
          <w:tblHeader/>
        </w:trPr>
        <w:tc>
          <w:tcPr>
            <w:tcW w:w="2836" w:type="dxa"/>
            <w:tcBorders>
              <w:top w:val="nil"/>
              <w:bottom w:val="dotted" w:sz="4" w:space="0" w:color="auto"/>
            </w:tcBorders>
            <w:shd w:val="clear" w:color="auto" w:fill="215868"/>
            <w:vAlign w:val="bottom"/>
          </w:tcPr>
          <w:p w:rsidR="000F6CEE" w:rsidRDefault="000F6CEE" w:rsidP="00B70CA6">
            <w:pPr>
              <w:pStyle w:val="PPVTableHeader"/>
              <w:keepNext/>
            </w:pPr>
            <w:r>
              <w:t>Location</w:t>
            </w:r>
          </w:p>
        </w:tc>
        <w:tc>
          <w:tcPr>
            <w:tcW w:w="2126" w:type="dxa"/>
            <w:tcBorders>
              <w:top w:val="nil"/>
              <w:bottom w:val="dotted" w:sz="4" w:space="0" w:color="auto"/>
            </w:tcBorders>
            <w:shd w:val="clear" w:color="auto" w:fill="215868"/>
            <w:vAlign w:val="bottom"/>
          </w:tcPr>
          <w:p w:rsidR="000F6CEE" w:rsidRPr="00B0444C" w:rsidRDefault="000F6CEE" w:rsidP="00B70CA6">
            <w:pPr>
              <w:pStyle w:val="PPVTableHeader"/>
              <w:keepNext/>
              <w:rPr>
                <w:rFonts w:eastAsia="Calibri"/>
              </w:rPr>
            </w:pPr>
            <w:r>
              <w:t>Qualification</w:t>
            </w:r>
          </w:p>
        </w:tc>
        <w:tc>
          <w:tcPr>
            <w:tcW w:w="1837" w:type="dxa"/>
            <w:tcBorders>
              <w:top w:val="nil"/>
              <w:bottom w:val="dotted" w:sz="4" w:space="0" w:color="auto"/>
            </w:tcBorders>
            <w:shd w:val="clear" w:color="auto" w:fill="215868"/>
            <w:vAlign w:val="bottom"/>
          </w:tcPr>
          <w:p w:rsidR="000F6CEE" w:rsidRDefault="000F6CEE" w:rsidP="00B70CA6">
            <w:pPr>
              <w:pStyle w:val="PPVTableHeader"/>
              <w:keepNext/>
            </w:pPr>
            <w:r w:rsidRPr="00B0444C">
              <w:rPr>
                <w:rFonts w:eastAsia="Calibri"/>
              </w:rPr>
              <w:t xml:space="preserve">Preferred </w:t>
            </w:r>
            <w:r>
              <w:rPr>
                <w:rFonts w:eastAsia="Calibri"/>
              </w:rPr>
              <w:t>s</w:t>
            </w:r>
            <w:r w:rsidRPr="00B0444C">
              <w:rPr>
                <w:rFonts w:eastAsia="Calibri"/>
              </w:rPr>
              <w:t>treet wall height</w:t>
            </w:r>
          </w:p>
        </w:tc>
        <w:tc>
          <w:tcPr>
            <w:tcW w:w="2415" w:type="dxa"/>
            <w:tcBorders>
              <w:top w:val="nil"/>
              <w:bottom w:val="dotted" w:sz="4" w:space="0" w:color="auto"/>
            </w:tcBorders>
            <w:shd w:val="clear" w:color="auto" w:fill="215868"/>
            <w:vAlign w:val="bottom"/>
          </w:tcPr>
          <w:p w:rsidR="000F6CEE" w:rsidRDefault="000F6CEE" w:rsidP="00B70CA6">
            <w:pPr>
              <w:pStyle w:val="PPVTableHeader"/>
              <w:keepNext/>
            </w:pPr>
            <w:r w:rsidRPr="00B0444C">
              <w:rPr>
                <w:rFonts w:eastAsia="Calibri"/>
              </w:rPr>
              <w:t xml:space="preserve">Maximum </w:t>
            </w:r>
            <w:r>
              <w:rPr>
                <w:rFonts w:eastAsia="Calibri"/>
              </w:rPr>
              <w:t>s</w:t>
            </w:r>
            <w:r w:rsidRPr="00B0444C">
              <w:rPr>
                <w:rFonts w:eastAsia="Calibri"/>
              </w:rPr>
              <w:t>treet wall height</w:t>
            </w:r>
          </w:p>
        </w:tc>
      </w:tr>
      <w:tr w:rsidR="000F6CEE" w:rsidTr="00D430C3">
        <w:trPr>
          <w:cantSplit/>
          <w:trHeight w:val="366"/>
        </w:trPr>
        <w:tc>
          <w:tcPr>
            <w:tcW w:w="2836" w:type="dxa"/>
            <w:tcBorders>
              <w:top w:val="dotted" w:sz="4" w:space="0" w:color="auto"/>
            </w:tcBorders>
          </w:tcPr>
          <w:p w:rsidR="000F6CEE" w:rsidRDefault="009862C7" w:rsidP="00B70CA6">
            <w:pPr>
              <w:pStyle w:val="PPVTableText"/>
              <w:keepNext/>
            </w:pPr>
            <w:r>
              <w:rPr>
                <w:rFonts w:eastAsia="Calibri"/>
              </w:rPr>
              <w:t>A</w:t>
            </w:r>
            <w:r w:rsidR="000F6CEE">
              <w:rPr>
                <w:rFonts w:eastAsia="Calibri"/>
              </w:rPr>
              <w:t>long City Road and Williamstown Road</w:t>
            </w:r>
          </w:p>
        </w:tc>
        <w:tc>
          <w:tcPr>
            <w:tcW w:w="2126" w:type="dxa"/>
            <w:tcBorders>
              <w:top w:val="dotted" w:sz="4" w:space="0" w:color="auto"/>
            </w:tcBorders>
          </w:tcPr>
          <w:p w:rsidR="000F6CEE" w:rsidRDefault="000F6CEE" w:rsidP="00B70CA6">
            <w:pPr>
              <w:pStyle w:val="PPVTableText"/>
              <w:keepNext/>
            </w:pPr>
          </w:p>
        </w:tc>
        <w:tc>
          <w:tcPr>
            <w:tcW w:w="1837" w:type="dxa"/>
            <w:tcBorders>
              <w:top w:val="dotted" w:sz="4" w:space="0" w:color="auto"/>
            </w:tcBorders>
          </w:tcPr>
          <w:p w:rsidR="000F6CEE" w:rsidRDefault="009862C7" w:rsidP="00B70CA6">
            <w:pPr>
              <w:pStyle w:val="PPVTableText"/>
              <w:keepNext/>
            </w:pPr>
            <w:r>
              <w:rPr>
                <w:rFonts w:eastAsia="Calibri"/>
              </w:rPr>
              <w:t>A</w:t>
            </w:r>
            <w:r w:rsidR="000F6CEE" w:rsidRPr="00A30E74">
              <w:rPr>
                <w:rFonts w:eastAsia="Calibri"/>
              </w:rPr>
              <w:t xml:space="preserve">t least 4 storeys </w:t>
            </w:r>
          </w:p>
        </w:tc>
        <w:tc>
          <w:tcPr>
            <w:tcW w:w="2415" w:type="dxa"/>
            <w:tcBorders>
              <w:top w:val="dotted" w:sz="4" w:space="0" w:color="auto"/>
            </w:tcBorders>
          </w:tcPr>
          <w:p w:rsidR="000F6CEE" w:rsidRDefault="000F6CEE" w:rsidP="00B70CA6">
            <w:pPr>
              <w:pStyle w:val="PPVTableText"/>
              <w:keepNext/>
              <w:rPr>
                <w:rFonts w:eastAsia="Calibri"/>
              </w:rPr>
            </w:pPr>
            <w:r>
              <w:rPr>
                <w:rFonts w:eastAsia="Calibri"/>
              </w:rPr>
              <w:t xml:space="preserve">4 storeys </w:t>
            </w:r>
          </w:p>
        </w:tc>
      </w:tr>
      <w:tr w:rsidR="000F6CEE" w:rsidTr="00D430C3">
        <w:trPr>
          <w:cantSplit/>
        </w:trPr>
        <w:tc>
          <w:tcPr>
            <w:tcW w:w="2836" w:type="dxa"/>
          </w:tcPr>
          <w:p w:rsidR="000F6CEE" w:rsidRDefault="005F79C2" w:rsidP="00B70CA6">
            <w:pPr>
              <w:pStyle w:val="PPVTableText"/>
              <w:keepNext/>
            </w:pPr>
            <w:r>
              <w:rPr>
                <w:rFonts w:eastAsia="Calibri"/>
              </w:rPr>
              <w:t>O</w:t>
            </w:r>
            <w:r w:rsidR="000F6CEE" w:rsidRPr="00A30E74">
              <w:rPr>
                <w:rFonts w:eastAsia="Calibri"/>
              </w:rPr>
              <w:t xml:space="preserve">n Fennell and Plummer Streets (between Ingles and Graham Streets) </w:t>
            </w:r>
          </w:p>
        </w:tc>
        <w:tc>
          <w:tcPr>
            <w:tcW w:w="2126" w:type="dxa"/>
          </w:tcPr>
          <w:p w:rsidR="000F6CEE" w:rsidRDefault="000F6CEE" w:rsidP="00B70CA6">
            <w:pPr>
              <w:pStyle w:val="PPVTableText"/>
              <w:keepNext/>
            </w:pPr>
          </w:p>
        </w:tc>
        <w:tc>
          <w:tcPr>
            <w:tcW w:w="1837" w:type="dxa"/>
          </w:tcPr>
          <w:p w:rsidR="000F6CEE" w:rsidRDefault="009862C7" w:rsidP="00B70CA6">
            <w:pPr>
              <w:pStyle w:val="PPVTableText"/>
              <w:keepNext/>
            </w:pPr>
            <w:r>
              <w:rPr>
                <w:rFonts w:eastAsia="Calibri"/>
              </w:rPr>
              <w:t>A</w:t>
            </w:r>
            <w:r w:rsidR="000F6CEE">
              <w:rPr>
                <w:rFonts w:eastAsia="Calibri"/>
              </w:rPr>
              <w:t xml:space="preserve">t least 6 storeys </w:t>
            </w:r>
          </w:p>
        </w:tc>
        <w:tc>
          <w:tcPr>
            <w:tcW w:w="2415" w:type="dxa"/>
          </w:tcPr>
          <w:p w:rsidR="008A083A" w:rsidRDefault="000F6CEE" w:rsidP="00B70CA6">
            <w:pPr>
              <w:pStyle w:val="PPVTableText"/>
              <w:keepNext/>
              <w:rPr>
                <w:rFonts w:eastAsia="Calibri"/>
              </w:rPr>
            </w:pPr>
            <w:r w:rsidRPr="00A30E74">
              <w:rPr>
                <w:rFonts w:eastAsia="Calibri"/>
              </w:rPr>
              <w:t>8 storeys</w:t>
            </w:r>
          </w:p>
          <w:p w:rsidR="000F6CEE" w:rsidRDefault="000F6CEE" w:rsidP="00B70CA6">
            <w:pPr>
              <w:pStyle w:val="PPVTableText"/>
              <w:keepNext/>
              <w:rPr>
                <w:rFonts w:eastAsia="Calibri"/>
              </w:rPr>
            </w:pPr>
            <w:r>
              <w:rPr>
                <w:rFonts w:eastAsia="Calibri"/>
              </w:rPr>
              <w:t xml:space="preserve">except </w:t>
            </w:r>
            <w:r w:rsidRPr="00A30E74">
              <w:rPr>
                <w:rFonts w:eastAsia="Calibri"/>
              </w:rPr>
              <w:t>on land on the north east corne</w:t>
            </w:r>
            <w:r>
              <w:rPr>
                <w:rFonts w:eastAsia="Calibri"/>
              </w:rPr>
              <w:t>r of Fennell and Bridge Streets where the General provisions apply</w:t>
            </w:r>
          </w:p>
        </w:tc>
      </w:tr>
      <w:tr w:rsidR="000F6CEE" w:rsidTr="00D430C3">
        <w:trPr>
          <w:cantSplit/>
          <w:trHeight w:val="366"/>
        </w:trPr>
        <w:tc>
          <w:tcPr>
            <w:tcW w:w="2836" w:type="dxa"/>
          </w:tcPr>
          <w:p w:rsidR="000F6CEE" w:rsidRDefault="009862C7" w:rsidP="00B70CA6">
            <w:pPr>
              <w:pStyle w:val="PPVTableText"/>
              <w:keepNext/>
            </w:pPr>
            <w:r>
              <w:rPr>
                <w:rFonts w:eastAsia="Calibri"/>
              </w:rPr>
              <w:t>O</w:t>
            </w:r>
            <w:r w:rsidR="000F6CEE" w:rsidRPr="00A30E74">
              <w:rPr>
                <w:rFonts w:eastAsia="Calibri"/>
              </w:rPr>
              <w:t>n a street or laneway ≤22m wide</w:t>
            </w:r>
            <w:r w:rsidR="000F6CEE">
              <w:rPr>
                <w:rFonts w:eastAsia="Calibri"/>
              </w:rPr>
              <w:t xml:space="preserve"> </w:t>
            </w:r>
          </w:p>
        </w:tc>
        <w:tc>
          <w:tcPr>
            <w:tcW w:w="2126" w:type="dxa"/>
          </w:tcPr>
          <w:p w:rsidR="000F6CEE" w:rsidRDefault="000F6CEE" w:rsidP="00B70CA6">
            <w:pPr>
              <w:pStyle w:val="PPVTableText"/>
              <w:keepNext/>
            </w:pPr>
          </w:p>
        </w:tc>
        <w:tc>
          <w:tcPr>
            <w:tcW w:w="1837" w:type="dxa"/>
          </w:tcPr>
          <w:p w:rsidR="000F6CEE" w:rsidRDefault="009862C7" w:rsidP="00B70CA6">
            <w:pPr>
              <w:pStyle w:val="PPVTableText"/>
              <w:keepNext/>
            </w:pPr>
            <w:r>
              <w:rPr>
                <w:rFonts w:eastAsia="Calibri"/>
              </w:rPr>
              <w:t>A</w:t>
            </w:r>
            <w:r w:rsidR="000F6CEE" w:rsidRPr="00A30E74">
              <w:rPr>
                <w:rFonts w:eastAsia="Calibri"/>
              </w:rPr>
              <w:t xml:space="preserve">t least 4 storeys </w:t>
            </w:r>
          </w:p>
        </w:tc>
        <w:tc>
          <w:tcPr>
            <w:tcW w:w="2415" w:type="dxa"/>
          </w:tcPr>
          <w:p w:rsidR="000F6CEE" w:rsidRDefault="000F6CEE" w:rsidP="00B70CA6">
            <w:pPr>
              <w:pStyle w:val="PPVTableText"/>
              <w:keepNext/>
              <w:rPr>
                <w:rFonts w:eastAsia="Calibri"/>
              </w:rPr>
            </w:pPr>
            <w:r w:rsidRPr="00A30E74">
              <w:rPr>
                <w:rFonts w:eastAsia="Calibri"/>
              </w:rPr>
              <w:t xml:space="preserve">6 storeys </w:t>
            </w:r>
          </w:p>
        </w:tc>
      </w:tr>
      <w:tr w:rsidR="000F6CEE" w:rsidTr="00D430C3">
        <w:trPr>
          <w:cantSplit/>
        </w:trPr>
        <w:tc>
          <w:tcPr>
            <w:tcW w:w="2836" w:type="dxa"/>
            <w:vMerge w:val="restart"/>
          </w:tcPr>
          <w:p w:rsidR="000F6CEE" w:rsidRDefault="000F6CEE" w:rsidP="00B70CA6">
            <w:pPr>
              <w:pStyle w:val="PPVTableText"/>
              <w:keepNext/>
            </w:pPr>
            <w:r>
              <w:t>O</w:t>
            </w:r>
            <w:r w:rsidRPr="00005A6C">
              <w:t>n a street &gt;2</w:t>
            </w:r>
            <w:r>
              <w:t>2m wide</w:t>
            </w:r>
          </w:p>
        </w:tc>
        <w:tc>
          <w:tcPr>
            <w:tcW w:w="2126" w:type="dxa"/>
          </w:tcPr>
          <w:p w:rsidR="000F6CEE" w:rsidRDefault="000F6CEE" w:rsidP="00B70CA6">
            <w:pPr>
              <w:pStyle w:val="PPVTableText"/>
              <w:keepNext/>
            </w:pPr>
            <w:r>
              <w:t>where the building height is ≤10 storeys</w:t>
            </w:r>
          </w:p>
        </w:tc>
        <w:tc>
          <w:tcPr>
            <w:tcW w:w="1837" w:type="dxa"/>
          </w:tcPr>
          <w:p w:rsidR="000F6CEE" w:rsidRDefault="009862C7" w:rsidP="00B70CA6">
            <w:pPr>
              <w:pStyle w:val="PPVTableText"/>
              <w:keepNext/>
            </w:pPr>
            <w:r>
              <w:rPr>
                <w:rFonts w:eastAsia="Calibri"/>
              </w:rPr>
              <w:t>At least 4 storeys</w:t>
            </w:r>
          </w:p>
        </w:tc>
        <w:tc>
          <w:tcPr>
            <w:tcW w:w="2415" w:type="dxa"/>
          </w:tcPr>
          <w:p w:rsidR="000F6CEE" w:rsidRDefault="000F6CEE" w:rsidP="00B70CA6">
            <w:pPr>
              <w:pStyle w:val="PPVTableText"/>
              <w:keepNext/>
            </w:pPr>
            <w:r>
              <w:t>8 storeys</w:t>
            </w:r>
          </w:p>
        </w:tc>
      </w:tr>
      <w:tr w:rsidR="000F6CEE" w:rsidTr="00D430C3">
        <w:trPr>
          <w:cantSplit/>
        </w:trPr>
        <w:tc>
          <w:tcPr>
            <w:tcW w:w="2836" w:type="dxa"/>
            <w:vMerge/>
          </w:tcPr>
          <w:p w:rsidR="000F6CEE" w:rsidRDefault="000F6CEE" w:rsidP="00D430C3">
            <w:pPr>
              <w:pStyle w:val="PPVTableTextBullet"/>
            </w:pPr>
          </w:p>
        </w:tc>
        <w:tc>
          <w:tcPr>
            <w:tcW w:w="2126" w:type="dxa"/>
          </w:tcPr>
          <w:p w:rsidR="000F6CEE" w:rsidRDefault="000F6CEE" w:rsidP="00D430C3">
            <w:pPr>
              <w:pStyle w:val="PPVTableText"/>
            </w:pPr>
            <w:r w:rsidRPr="00005A6C">
              <w:t>where the</w:t>
            </w:r>
            <w:r>
              <w:t xml:space="preserve"> building height is &gt;10 storeys</w:t>
            </w:r>
          </w:p>
        </w:tc>
        <w:tc>
          <w:tcPr>
            <w:tcW w:w="1837" w:type="dxa"/>
          </w:tcPr>
          <w:p w:rsidR="000F6CEE" w:rsidRDefault="009862C7" w:rsidP="00D430C3">
            <w:pPr>
              <w:pStyle w:val="PPVTableText"/>
            </w:pPr>
            <w:r>
              <w:rPr>
                <w:rFonts w:eastAsia="Calibri"/>
              </w:rPr>
              <w:t xml:space="preserve">At least 4 storeys </w:t>
            </w:r>
          </w:p>
        </w:tc>
        <w:tc>
          <w:tcPr>
            <w:tcW w:w="2415" w:type="dxa"/>
          </w:tcPr>
          <w:p w:rsidR="000F6CEE" w:rsidRPr="00B02592" w:rsidRDefault="000F6CEE" w:rsidP="00D430C3">
            <w:pPr>
              <w:pStyle w:val="PPVTableText"/>
            </w:pPr>
            <w:r w:rsidRPr="00005A6C">
              <w:t>6 storeys</w:t>
            </w:r>
          </w:p>
        </w:tc>
      </w:tr>
    </w:tbl>
    <w:p w:rsidR="008A083A" w:rsidRDefault="000F6CEE" w:rsidP="000F6CEE">
      <w:pPr>
        <w:pStyle w:val="Heading4"/>
      </w:pPr>
      <w:r>
        <w:t>Setbacks above street walls</w:t>
      </w:r>
    </w:p>
    <w:p w:rsidR="000F6CEE" w:rsidRDefault="006D35B9" w:rsidP="000F6CEE">
      <w:pPr>
        <w:pStyle w:val="PPVBody"/>
      </w:pPr>
      <w:r>
        <w:t>S</w:t>
      </w:r>
      <w:r w:rsidR="000F6CEE">
        <w:t>etbacks above the street wall are proposed to ensure comfortable wind conditions, adequate sunlight access to streets and laneways, sky views and minimise visual bulk.  Setbacks above the street wall vary depending building height and location.</w:t>
      </w:r>
    </w:p>
    <w:p w:rsidR="00E21716" w:rsidRPr="00D41999" w:rsidRDefault="00E21716" w:rsidP="00E21716">
      <w:pPr>
        <w:pStyle w:val="Caption"/>
      </w:pPr>
      <w:r>
        <w:t>Table 4: Sandridge setbacks above the street wall from new and existing streets and laneways</w:t>
      </w:r>
    </w:p>
    <w:tbl>
      <w:tblPr>
        <w:tblStyle w:val="TableGrid"/>
        <w:tblW w:w="9214"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836"/>
        <w:gridCol w:w="2126"/>
        <w:gridCol w:w="2126"/>
        <w:gridCol w:w="2126"/>
      </w:tblGrid>
      <w:tr w:rsidR="00E21716" w:rsidTr="00D430C3">
        <w:trPr>
          <w:cantSplit/>
          <w:tblHeader/>
        </w:trPr>
        <w:tc>
          <w:tcPr>
            <w:tcW w:w="2836" w:type="dxa"/>
            <w:tcBorders>
              <w:top w:val="nil"/>
              <w:bottom w:val="dotted" w:sz="4" w:space="0" w:color="auto"/>
            </w:tcBorders>
            <w:shd w:val="clear" w:color="auto" w:fill="215868"/>
            <w:vAlign w:val="bottom"/>
          </w:tcPr>
          <w:p w:rsidR="00E21716" w:rsidRDefault="00E21716" w:rsidP="00D430C3">
            <w:pPr>
              <w:pStyle w:val="PPVTableHeader"/>
            </w:pPr>
            <w:r>
              <w:t>Location</w:t>
            </w:r>
          </w:p>
        </w:tc>
        <w:tc>
          <w:tcPr>
            <w:tcW w:w="2126" w:type="dxa"/>
            <w:tcBorders>
              <w:top w:val="nil"/>
              <w:bottom w:val="dotted" w:sz="4" w:space="0" w:color="auto"/>
            </w:tcBorders>
            <w:shd w:val="clear" w:color="auto" w:fill="215868"/>
            <w:vAlign w:val="bottom"/>
          </w:tcPr>
          <w:p w:rsidR="00E21716" w:rsidRDefault="00E21716" w:rsidP="00D430C3">
            <w:pPr>
              <w:pStyle w:val="PPVTableHeader"/>
            </w:pPr>
            <w:r>
              <w:t>Qualification</w:t>
            </w:r>
          </w:p>
        </w:tc>
        <w:tc>
          <w:tcPr>
            <w:tcW w:w="2126" w:type="dxa"/>
            <w:tcBorders>
              <w:top w:val="nil"/>
              <w:bottom w:val="dotted" w:sz="4" w:space="0" w:color="auto"/>
            </w:tcBorders>
            <w:shd w:val="clear" w:color="auto" w:fill="215868"/>
            <w:vAlign w:val="bottom"/>
          </w:tcPr>
          <w:p w:rsidR="00E21716" w:rsidRDefault="00E21716" w:rsidP="00D430C3">
            <w:pPr>
              <w:pStyle w:val="PPVTableHeader"/>
            </w:pPr>
            <w:r w:rsidRPr="00B0444C">
              <w:rPr>
                <w:rFonts w:eastAsia="Calibri"/>
              </w:rPr>
              <w:t>Preferred Setback</w:t>
            </w:r>
          </w:p>
        </w:tc>
        <w:tc>
          <w:tcPr>
            <w:tcW w:w="2126" w:type="dxa"/>
            <w:tcBorders>
              <w:top w:val="nil"/>
              <w:bottom w:val="dotted" w:sz="4" w:space="0" w:color="auto"/>
            </w:tcBorders>
            <w:shd w:val="clear" w:color="auto" w:fill="215868"/>
            <w:vAlign w:val="bottom"/>
          </w:tcPr>
          <w:p w:rsidR="00E21716" w:rsidRDefault="00E21716" w:rsidP="00D430C3">
            <w:pPr>
              <w:pStyle w:val="PPVTableHeader"/>
            </w:pPr>
            <w:r w:rsidRPr="00B0444C">
              <w:rPr>
                <w:rFonts w:eastAsia="Calibri"/>
              </w:rPr>
              <w:t>Minimum Setback</w:t>
            </w:r>
          </w:p>
        </w:tc>
      </w:tr>
      <w:tr w:rsidR="00E21716" w:rsidRPr="007A6E5C" w:rsidTr="00D430C3">
        <w:trPr>
          <w:cantSplit/>
        </w:trPr>
        <w:tc>
          <w:tcPr>
            <w:tcW w:w="2836" w:type="dxa"/>
            <w:vMerge w:val="restart"/>
            <w:tcBorders>
              <w:top w:val="dotted" w:sz="4" w:space="0" w:color="auto"/>
            </w:tcBorders>
          </w:tcPr>
          <w:p w:rsidR="00E21716" w:rsidRPr="009529D0" w:rsidRDefault="00E21716" w:rsidP="00D430C3">
            <w:pPr>
              <w:pStyle w:val="PPVTableText"/>
            </w:pPr>
            <w:r w:rsidRPr="009529D0">
              <w:t>where the building has direct interface with:</w:t>
            </w:r>
          </w:p>
          <w:p w:rsidR="00E21716" w:rsidRPr="009529D0" w:rsidRDefault="00E21716" w:rsidP="00D430C3">
            <w:pPr>
              <w:pStyle w:val="PPVTableTextBullet"/>
            </w:pPr>
            <w:r w:rsidRPr="009529D0">
              <w:t>Westgate Freeway</w:t>
            </w:r>
          </w:p>
        </w:tc>
        <w:tc>
          <w:tcPr>
            <w:tcW w:w="2126" w:type="dxa"/>
            <w:tcBorders>
              <w:top w:val="dotted" w:sz="4" w:space="0" w:color="auto"/>
            </w:tcBorders>
          </w:tcPr>
          <w:p w:rsidR="00E21716" w:rsidRPr="009529D0" w:rsidRDefault="008E71F2" w:rsidP="00D430C3">
            <w:pPr>
              <w:pStyle w:val="PPVTableText"/>
            </w:pPr>
            <w:r w:rsidRPr="009529D0">
              <w:t>If the building height is ≤ 8 storeys</w:t>
            </w:r>
          </w:p>
        </w:tc>
        <w:tc>
          <w:tcPr>
            <w:tcW w:w="2126" w:type="dxa"/>
            <w:tcBorders>
              <w:top w:val="dotted" w:sz="4" w:space="0" w:color="auto"/>
            </w:tcBorders>
          </w:tcPr>
          <w:p w:rsidR="00E21716" w:rsidRPr="009529D0" w:rsidRDefault="00E21716" w:rsidP="00D430C3">
            <w:pPr>
              <w:pStyle w:val="PPVTableText"/>
            </w:pPr>
            <w:r w:rsidRPr="009529D0">
              <w:t>5</w:t>
            </w:r>
            <w:r w:rsidR="000333F8">
              <w:t xml:space="preserve"> </w:t>
            </w:r>
            <w:r w:rsidRPr="009529D0">
              <w:t>m</w:t>
            </w:r>
            <w:r w:rsidR="00B55256">
              <w:t>etres</w:t>
            </w:r>
          </w:p>
        </w:tc>
        <w:tc>
          <w:tcPr>
            <w:tcW w:w="2126" w:type="dxa"/>
            <w:tcBorders>
              <w:top w:val="dotted" w:sz="4" w:space="0" w:color="auto"/>
            </w:tcBorders>
          </w:tcPr>
          <w:p w:rsidR="00E21716" w:rsidRPr="009529D0" w:rsidRDefault="00E21716" w:rsidP="00D430C3">
            <w:pPr>
              <w:pStyle w:val="PPVTableText"/>
            </w:pPr>
            <w:r w:rsidRPr="009529D0">
              <w:t>3</w:t>
            </w:r>
            <w:r w:rsidR="00B55256">
              <w:t xml:space="preserve"> </w:t>
            </w:r>
            <w:r w:rsidR="00B55256" w:rsidRPr="009529D0">
              <w:t>m</w:t>
            </w:r>
            <w:r w:rsidR="00B55256">
              <w:t>etres</w:t>
            </w:r>
          </w:p>
        </w:tc>
      </w:tr>
      <w:tr w:rsidR="00E21716" w:rsidRPr="007A6E5C" w:rsidTr="00D430C3">
        <w:trPr>
          <w:cantSplit/>
        </w:trPr>
        <w:tc>
          <w:tcPr>
            <w:tcW w:w="2836" w:type="dxa"/>
            <w:vMerge/>
          </w:tcPr>
          <w:p w:rsidR="00E21716" w:rsidRPr="009529D0" w:rsidRDefault="00E21716" w:rsidP="00D430C3">
            <w:pPr>
              <w:pStyle w:val="PPVTableTextBullet"/>
            </w:pPr>
          </w:p>
        </w:tc>
        <w:tc>
          <w:tcPr>
            <w:tcW w:w="2126" w:type="dxa"/>
          </w:tcPr>
          <w:p w:rsidR="00E21716" w:rsidRPr="009529D0" w:rsidRDefault="008E71F2" w:rsidP="00D430C3">
            <w:pPr>
              <w:pStyle w:val="PPVTableText"/>
            </w:pPr>
            <w:r w:rsidRPr="009529D0">
              <w:t>If the building height is &gt; 8 storeys</w:t>
            </w:r>
          </w:p>
        </w:tc>
        <w:tc>
          <w:tcPr>
            <w:tcW w:w="2126" w:type="dxa"/>
          </w:tcPr>
          <w:p w:rsidR="00E21716" w:rsidRPr="009529D0" w:rsidRDefault="00B55256" w:rsidP="00D430C3">
            <w:pPr>
              <w:pStyle w:val="PPVTableText"/>
            </w:pPr>
            <w:r>
              <w:t xml:space="preserve">10 </w:t>
            </w:r>
            <w:r w:rsidRPr="009529D0">
              <w:t>m</w:t>
            </w:r>
            <w:r>
              <w:t>etres</w:t>
            </w:r>
          </w:p>
        </w:tc>
        <w:tc>
          <w:tcPr>
            <w:tcW w:w="2126" w:type="dxa"/>
          </w:tcPr>
          <w:p w:rsidR="00E21716" w:rsidRPr="009529D0" w:rsidRDefault="00B55256" w:rsidP="00D430C3">
            <w:pPr>
              <w:pStyle w:val="PPVTableText"/>
            </w:pPr>
            <w:r>
              <w:t xml:space="preserve">5 </w:t>
            </w:r>
            <w:r w:rsidRPr="009529D0">
              <w:t>m</w:t>
            </w:r>
            <w:r>
              <w:t>etres</w:t>
            </w:r>
          </w:p>
        </w:tc>
      </w:tr>
      <w:tr w:rsidR="00E21716" w:rsidRPr="007A6E5C" w:rsidTr="00D430C3">
        <w:trPr>
          <w:cantSplit/>
        </w:trPr>
        <w:tc>
          <w:tcPr>
            <w:tcW w:w="2836" w:type="dxa"/>
          </w:tcPr>
          <w:p w:rsidR="00E21716" w:rsidRPr="009529D0" w:rsidRDefault="00E21716" w:rsidP="00D430C3">
            <w:pPr>
              <w:pStyle w:val="PPVTableText"/>
            </w:pPr>
            <w:r w:rsidRPr="009529D0">
              <w:t>Williamstown Road</w:t>
            </w:r>
          </w:p>
        </w:tc>
        <w:tc>
          <w:tcPr>
            <w:tcW w:w="2126" w:type="dxa"/>
          </w:tcPr>
          <w:p w:rsidR="00E21716" w:rsidRPr="009529D0" w:rsidRDefault="00E21716" w:rsidP="00D430C3">
            <w:pPr>
              <w:pStyle w:val="PPVTableText"/>
            </w:pPr>
          </w:p>
        </w:tc>
        <w:tc>
          <w:tcPr>
            <w:tcW w:w="2126" w:type="dxa"/>
          </w:tcPr>
          <w:p w:rsidR="00E21716" w:rsidRPr="009529D0" w:rsidRDefault="00E21716" w:rsidP="00D430C3">
            <w:pPr>
              <w:pStyle w:val="PPVTableText"/>
            </w:pPr>
            <w:r w:rsidRPr="009529D0">
              <w:t>As specified for other locations</w:t>
            </w:r>
          </w:p>
        </w:tc>
        <w:tc>
          <w:tcPr>
            <w:tcW w:w="2126" w:type="dxa"/>
          </w:tcPr>
          <w:p w:rsidR="00E21716" w:rsidRPr="009529D0" w:rsidRDefault="00E21716" w:rsidP="00D430C3">
            <w:pPr>
              <w:pStyle w:val="PPVTableText"/>
            </w:pPr>
            <w:r w:rsidRPr="009529D0">
              <w:t>10</w:t>
            </w:r>
            <w:r w:rsidR="00B55256">
              <w:t xml:space="preserve"> </w:t>
            </w:r>
            <w:r w:rsidR="00B55256" w:rsidRPr="009529D0">
              <w:t>m</w:t>
            </w:r>
            <w:r w:rsidR="00B55256">
              <w:t>etres</w:t>
            </w:r>
            <w:r w:rsidRPr="009529D0">
              <w:t xml:space="preserve"> (≤15.4 m in diagram)</w:t>
            </w:r>
          </w:p>
        </w:tc>
      </w:tr>
      <w:tr w:rsidR="00E21716" w:rsidTr="00D430C3">
        <w:trPr>
          <w:cantSplit/>
        </w:trPr>
        <w:tc>
          <w:tcPr>
            <w:tcW w:w="2836" w:type="dxa"/>
            <w:vMerge w:val="restart"/>
          </w:tcPr>
          <w:p w:rsidR="00E21716" w:rsidRPr="009529D0" w:rsidRDefault="00E21716" w:rsidP="00D430C3">
            <w:pPr>
              <w:pStyle w:val="PPVTableText"/>
            </w:pPr>
            <w:r w:rsidRPr="009529D0">
              <w:t>Other locations</w:t>
            </w:r>
          </w:p>
        </w:tc>
        <w:tc>
          <w:tcPr>
            <w:tcW w:w="2126" w:type="dxa"/>
          </w:tcPr>
          <w:p w:rsidR="00E21716" w:rsidRPr="009529D0" w:rsidRDefault="008E71F2" w:rsidP="00D430C3">
            <w:pPr>
              <w:pStyle w:val="PPVTableText"/>
            </w:pPr>
            <w:r w:rsidRPr="009529D0">
              <w:t>If the building height is ≤ 8 storeys</w:t>
            </w:r>
          </w:p>
        </w:tc>
        <w:tc>
          <w:tcPr>
            <w:tcW w:w="2126" w:type="dxa"/>
          </w:tcPr>
          <w:p w:rsidR="00E21716" w:rsidRPr="009529D0" w:rsidRDefault="00E21716" w:rsidP="00D430C3">
            <w:pPr>
              <w:pStyle w:val="PPVTableText"/>
            </w:pPr>
            <w:r w:rsidRPr="009529D0">
              <w:t>5</w:t>
            </w:r>
            <w:r w:rsidR="00B55256">
              <w:t xml:space="preserve"> </w:t>
            </w:r>
            <w:r w:rsidR="00B55256" w:rsidRPr="009529D0">
              <w:t>m</w:t>
            </w:r>
            <w:r w:rsidR="00B55256">
              <w:t>etres</w:t>
            </w:r>
          </w:p>
        </w:tc>
        <w:tc>
          <w:tcPr>
            <w:tcW w:w="2126" w:type="dxa"/>
          </w:tcPr>
          <w:p w:rsidR="00E21716" w:rsidRPr="009529D0" w:rsidRDefault="00E21716" w:rsidP="00D430C3">
            <w:pPr>
              <w:pStyle w:val="PPVTableText"/>
            </w:pPr>
            <w:r w:rsidRPr="009529D0">
              <w:t>3</w:t>
            </w:r>
            <w:r w:rsidR="00B55256">
              <w:t xml:space="preserve"> </w:t>
            </w:r>
            <w:r w:rsidR="00B55256" w:rsidRPr="009529D0">
              <w:t>m</w:t>
            </w:r>
            <w:r w:rsidR="00B55256">
              <w:t>etres</w:t>
            </w:r>
          </w:p>
        </w:tc>
      </w:tr>
      <w:tr w:rsidR="00E21716" w:rsidTr="00D430C3">
        <w:trPr>
          <w:cantSplit/>
        </w:trPr>
        <w:tc>
          <w:tcPr>
            <w:tcW w:w="2836" w:type="dxa"/>
            <w:vMerge/>
          </w:tcPr>
          <w:p w:rsidR="00E21716" w:rsidRPr="009529D0" w:rsidRDefault="00E21716" w:rsidP="00D430C3">
            <w:pPr>
              <w:pStyle w:val="PPVTableText"/>
            </w:pPr>
          </w:p>
        </w:tc>
        <w:tc>
          <w:tcPr>
            <w:tcW w:w="2126" w:type="dxa"/>
          </w:tcPr>
          <w:p w:rsidR="00E21716" w:rsidRPr="009529D0" w:rsidRDefault="008E71F2" w:rsidP="00D430C3">
            <w:pPr>
              <w:pStyle w:val="PPVTableText"/>
            </w:pPr>
            <w:r w:rsidRPr="009529D0">
              <w:t>If the building height is &gt; 8 storeys and ≤ 20 storeys</w:t>
            </w:r>
          </w:p>
        </w:tc>
        <w:tc>
          <w:tcPr>
            <w:tcW w:w="2126" w:type="dxa"/>
          </w:tcPr>
          <w:p w:rsidR="00E21716" w:rsidRPr="009529D0" w:rsidRDefault="00E21716" w:rsidP="00D430C3">
            <w:pPr>
              <w:pStyle w:val="PPVTableText"/>
            </w:pPr>
            <w:r w:rsidRPr="009529D0">
              <w:t>10</w:t>
            </w:r>
            <w:r w:rsidR="00B55256">
              <w:t xml:space="preserve"> </w:t>
            </w:r>
            <w:r w:rsidR="00B55256" w:rsidRPr="009529D0">
              <w:t>m</w:t>
            </w:r>
            <w:r w:rsidR="00B55256">
              <w:t>etres</w:t>
            </w:r>
          </w:p>
        </w:tc>
        <w:tc>
          <w:tcPr>
            <w:tcW w:w="2126" w:type="dxa"/>
          </w:tcPr>
          <w:p w:rsidR="00E21716" w:rsidRPr="009529D0" w:rsidRDefault="00E21716" w:rsidP="00D430C3">
            <w:pPr>
              <w:pStyle w:val="PPVTableText"/>
            </w:pPr>
            <w:r w:rsidRPr="009529D0">
              <w:t>5</w:t>
            </w:r>
            <w:r w:rsidR="00B55256">
              <w:t xml:space="preserve"> </w:t>
            </w:r>
            <w:r w:rsidR="00B55256" w:rsidRPr="009529D0">
              <w:t>m</w:t>
            </w:r>
            <w:r w:rsidR="00B55256">
              <w:t>etres</w:t>
            </w:r>
          </w:p>
        </w:tc>
      </w:tr>
      <w:tr w:rsidR="00E21716" w:rsidTr="00D430C3">
        <w:trPr>
          <w:cantSplit/>
        </w:trPr>
        <w:tc>
          <w:tcPr>
            <w:tcW w:w="2836" w:type="dxa"/>
            <w:vMerge/>
          </w:tcPr>
          <w:p w:rsidR="00E21716" w:rsidRPr="009529D0" w:rsidRDefault="00E21716" w:rsidP="00D430C3">
            <w:pPr>
              <w:pStyle w:val="PPVTableText"/>
            </w:pPr>
          </w:p>
        </w:tc>
        <w:tc>
          <w:tcPr>
            <w:tcW w:w="2126" w:type="dxa"/>
          </w:tcPr>
          <w:p w:rsidR="00E21716" w:rsidRPr="009529D0" w:rsidRDefault="008E71F2" w:rsidP="00D430C3">
            <w:pPr>
              <w:pStyle w:val="PPVTableText"/>
            </w:pPr>
            <w:r w:rsidRPr="009529D0">
              <w:t>If the overall building height is &gt; 20 storeys</w:t>
            </w:r>
          </w:p>
        </w:tc>
        <w:tc>
          <w:tcPr>
            <w:tcW w:w="2126" w:type="dxa"/>
          </w:tcPr>
          <w:p w:rsidR="00E21716" w:rsidRPr="009529D0" w:rsidRDefault="00E21716" w:rsidP="00D430C3">
            <w:pPr>
              <w:pStyle w:val="PPVTableText"/>
            </w:pPr>
            <w:r w:rsidRPr="009529D0">
              <w:t>10</w:t>
            </w:r>
            <w:r w:rsidR="00B55256">
              <w:t xml:space="preserve"> </w:t>
            </w:r>
            <w:r w:rsidR="00B55256" w:rsidRPr="009529D0">
              <w:t>m</w:t>
            </w:r>
            <w:r w:rsidR="00B55256">
              <w:t>etres</w:t>
            </w:r>
          </w:p>
        </w:tc>
        <w:tc>
          <w:tcPr>
            <w:tcW w:w="2126" w:type="dxa"/>
          </w:tcPr>
          <w:p w:rsidR="00E21716" w:rsidRPr="009529D0" w:rsidRDefault="00E21716" w:rsidP="00D430C3">
            <w:pPr>
              <w:pStyle w:val="PPVTableText"/>
            </w:pPr>
            <w:r w:rsidRPr="009529D0">
              <w:t>10</w:t>
            </w:r>
            <w:r w:rsidR="00B55256">
              <w:t xml:space="preserve"> </w:t>
            </w:r>
            <w:r w:rsidR="00B55256" w:rsidRPr="009529D0">
              <w:t>m</w:t>
            </w:r>
            <w:r w:rsidR="00B55256">
              <w:t>etres</w:t>
            </w:r>
          </w:p>
        </w:tc>
      </w:tr>
    </w:tbl>
    <w:p w:rsidR="000F6CEE" w:rsidRDefault="000F6CEE" w:rsidP="000F6CEE">
      <w:pPr>
        <w:pStyle w:val="Heading4"/>
      </w:pPr>
      <w:r>
        <w:t>Side and rear setbacks</w:t>
      </w:r>
    </w:p>
    <w:p w:rsidR="000F6CEE" w:rsidRDefault="000F6CEE" w:rsidP="000F6CEE">
      <w:pPr>
        <w:pStyle w:val="PPVBody"/>
      </w:pPr>
      <w:r>
        <w:t>Below street wall height, the preference is for buildings to be built to the side and rear boundaries, to create a continuous wall along all site frontages.  Upper level side and rear setbacks (above street wall height) vary according to the building’s ground level setback, height and location.</w:t>
      </w:r>
    </w:p>
    <w:p w:rsidR="00F30D62" w:rsidRPr="00365AAF" w:rsidRDefault="00F30D62" w:rsidP="008E71F2">
      <w:pPr>
        <w:pStyle w:val="Caption"/>
      </w:pPr>
      <w:r>
        <w:t>Table 5: Sandridge side and rear setbacks</w:t>
      </w:r>
    </w:p>
    <w:tbl>
      <w:tblPr>
        <w:tblStyle w:val="TableGrid"/>
        <w:tblW w:w="9214"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127"/>
        <w:gridCol w:w="2155"/>
        <w:gridCol w:w="2097"/>
        <w:gridCol w:w="1418"/>
        <w:gridCol w:w="1417"/>
      </w:tblGrid>
      <w:tr w:rsidR="00F30D62" w:rsidRPr="004A2288" w:rsidTr="00D430C3">
        <w:trPr>
          <w:cantSplit/>
          <w:tblHeader/>
        </w:trPr>
        <w:tc>
          <w:tcPr>
            <w:tcW w:w="2127" w:type="dxa"/>
            <w:tcBorders>
              <w:top w:val="nil"/>
              <w:bottom w:val="dotted" w:sz="4" w:space="0" w:color="auto"/>
            </w:tcBorders>
            <w:shd w:val="clear" w:color="auto" w:fill="215868"/>
            <w:vAlign w:val="bottom"/>
          </w:tcPr>
          <w:p w:rsidR="00F30D62" w:rsidRPr="004A2288" w:rsidRDefault="00F30D62" w:rsidP="008E71F2">
            <w:pPr>
              <w:pStyle w:val="PPVTableHeader"/>
              <w:keepNext/>
              <w:rPr>
                <w:rFonts w:eastAsia="Calibri"/>
              </w:rPr>
            </w:pPr>
            <w:r w:rsidRPr="004A2288">
              <w:rPr>
                <w:rFonts w:eastAsia="Calibri"/>
              </w:rPr>
              <w:t>Part of building</w:t>
            </w:r>
          </w:p>
        </w:tc>
        <w:tc>
          <w:tcPr>
            <w:tcW w:w="2155" w:type="dxa"/>
            <w:tcBorders>
              <w:top w:val="nil"/>
              <w:bottom w:val="dotted" w:sz="4" w:space="0" w:color="auto"/>
            </w:tcBorders>
            <w:shd w:val="clear" w:color="auto" w:fill="215868"/>
            <w:vAlign w:val="bottom"/>
          </w:tcPr>
          <w:p w:rsidR="00F30D62" w:rsidRPr="004A2288" w:rsidRDefault="00F30D62" w:rsidP="008E71F2">
            <w:pPr>
              <w:pStyle w:val="PPVTableHeader"/>
              <w:keepNext/>
              <w:rPr>
                <w:rFonts w:eastAsia="Calibri"/>
              </w:rPr>
            </w:pPr>
            <w:r w:rsidRPr="004A2288">
              <w:rPr>
                <w:rFonts w:eastAsia="Calibri"/>
              </w:rPr>
              <w:t>Qualification</w:t>
            </w:r>
          </w:p>
        </w:tc>
        <w:tc>
          <w:tcPr>
            <w:tcW w:w="2097" w:type="dxa"/>
            <w:tcBorders>
              <w:top w:val="nil"/>
              <w:bottom w:val="dotted" w:sz="4" w:space="0" w:color="auto"/>
            </w:tcBorders>
            <w:shd w:val="clear" w:color="auto" w:fill="215868"/>
            <w:vAlign w:val="bottom"/>
          </w:tcPr>
          <w:p w:rsidR="00F30D62" w:rsidRPr="004A2288" w:rsidRDefault="00F30D62" w:rsidP="008E71F2">
            <w:pPr>
              <w:pStyle w:val="PPVTableHeader"/>
              <w:keepNext/>
              <w:rPr>
                <w:rFonts w:eastAsia="Calibri"/>
              </w:rPr>
            </w:pPr>
            <w:r w:rsidRPr="004A2288">
              <w:rPr>
                <w:rFonts w:eastAsia="Calibri"/>
              </w:rPr>
              <w:t>Qualification</w:t>
            </w:r>
          </w:p>
        </w:tc>
        <w:tc>
          <w:tcPr>
            <w:tcW w:w="1418" w:type="dxa"/>
            <w:tcBorders>
              <w:top w:val="nil"/>
              <w:bottom w:val="dotted" w:sz="4" w:space="0" w:color="auto"/>
            </w:tcBorders>
            <w:shd w:val="clear" w:color="auto" w:fill="215868"/>
            <w:vAlign w:val="bottom"/>
          </w:tcPr>
          <w:p w:rsidR="00F30D62" w:rsidRPr="004A2288" w:rsidRDefault="00F30D62" w:rsidP="008E71F2">
            <w:pPr>
              <w:pStyle w:val="PPVTableHeader"/>
              <w:keepNext/>
            </w:pPr>
            <w:r w:rsidRPr="004A2288">
              <w:rPr>
                <w:rFonts w:eastAsia="Calibri"/>
              </w:rPr>
              <w:t xml:space="preserve">Preferred </w:t>
            </w:r>
            <w:r>
              <w:rPr>
                <w:rFonts w:eastAsia="Calibri"/>
              </w:rPr>
              <w:t>s</w:t>
            </w:r>
            <w:r w:rsidRPr="004A2288">
              <w:rPr>
                <w:rFonts w:eastAsia="Calibri"/>
              </w:rPr>
              <w:t>etback</w:t>
            </w:r>
          </w:p>
        </w:tc>
        <w:tc>
          <w:tcPr>
            <w:tcW w:w="1417" w:type="dxa"/>
            <w:tcBorders>
              <w:top w:val="nil"/>
              <w:bottom w:val="dotted" w:sz="4" w:space="0" w:color="auto"/>
            </w:tcBorders>
            <w:shd w:val="clear" w:color="auto" w:fill="215868"/>
            <w:vAlign w:val="bottom"/>
          </w:tcPr>
          <w:p w:rsidR="00F30D62" w:rsidRPr="004A2288" w:rsidRDefault="00F30D62" w:rsidP="008E71F2">
            <w:pPr>
              <w:pStyle w:val="PPVTableHeader"/>
              <w:keepNext/>
            </w:pPr>
            <w:r w:rsidRPr="004A2288">
              <w:t>Minimum setback</w:t>
            </w:r>
          </w:p>
        </w:tc>
      </w:tr>
      <w:tr w:rsidR="00F30D62" w:rsidRPr="004A2288" w:rsidTr="00D430C3">
        <w:trPr>
          <w:cantSplit/>
        </w:trPr>
        <w:tc>
          <w:tcPr>
            <w:tcW w:w="2127" w:type="dxa"/>
            <w:vMerge w:val="restart"/>
            <w:tcBorders>
              <w:top w:val="dotted" w:sz="4" w:space="0" w:color="auto"/>
            </w:tcBorders>
          </w:tcPr>
          <w:p w:rsidR="00F30D62" w:rsidRPr="004A2288" w:rsidRDefault="00F30D62" w:rsidP="008E71F2">
            <w:pPr>
              <w:pStyle w:val="PPVTableText"/>
              <w:keepNext/>
            </w:pPr>
            <w:r w:rsidRPr="004A2288">
              <w:rPr>
                <w:rFonts w:eastAsia="Calibri"/>
              </w:rPr>
              <w:t>Below the street wall height</w:t>
            </w:r>
          </w:p>
        </w:tc>
        <w:tc>
          <w:tcPr>
            <w:tcW w:w="2155" w:type="dxa"/>
            <w:vMerge w:val="restart"/>
            <w:tcBorders>
              <w:top w:val="dotted" w:sz="4" w:space="0" w:color="auto"/>
            </w:tcBorders>
          </w:tcPr>
          <w:p w:rsidR="00F30D62" w:rsidRPr="004A2288" w:rsidRDefault="00227AF9" w:rsidP="008E71F2">
            <w:pPr>
              <w:pStyle w:val="PPVTableText"/>
              <w:keepNext/>
            </w:pPr>
            <w:r>
              <w:t>If</w:t>
            </w:r>
            <w:r w:rsidR="00F30D62" w:rsidRPr="004A2288">
              <w:t xml:space="preserve"> not within 300</w:t>
            </w:r>
            <w:r w:rsidR="005F79C2">
              <w:t xml:space="preserve"> </w:t>
            </w:r>
            <w:r w:rsidR="00F30D62" w:rsidRPr="004A2288">
              <w:t>mm of a side or rear boundary</w:t>
            </w:r>
          </w:p>
        </w:tc>
        <w:tc>
          <w:tcPr>
            <w:tcW w:w="2097" w:type="dxa"/>
            <w:tcBorders>
              <w:top w:val="dotted" w:sz="4" w:space="0" w:color="auto"/>
            </w:tcBorders>
          </w:tcPr>
          <w:p w:rsidR="00F30D62" w:rsidRPr="004A2288" w:rsidRDefault="00F30D62" w:rsidP="008E71F2">
            <w:pPr>
              <w:pStyle w:val="PPVTableText"/>
              <w:keepNext/>
            </w:pPr>
            <w:r w:rsidRPr="004A2288">
              <w:rPr>
                <w:rFonts w:eastAsia="Calibri"/>
              </w:rPr>
              <w:t>Within core areas</w:t>
            </w:r>
            <w:r w:rsidRPr="004A2288">
              <w:t xml:space="preserve"> </w:t>
            </w:r>
          </w:p>
        </w:tc>
        <w:tc>
          <w:tcPr>
            <w:tcW w:w="1418" w:type="dxa"/>
            <w:tcBorders>
              <w:top w:val="dotted" w:sz="4" w:space="0" w:color="auto"/>
            </w:tcBorders>
          </w:tcPr>
          <w:p w:rsidR="00F30D62" w:rsidRPr="004A2288" w:rsidRDefault="00F30D62" w:rsidP="008E71F2">
            <w:pPr>
              <w:pStyle w:val="PPVTableText"/>
              <w:keepNext/>
            </w:pPr>
            <w:r w:rsidRPr="004A2288">
              <w:t xml:space="preserve">6 metres </w:t>
            </w:r>
          </w:p>
        </w:tc>
        <w:tc>
          <w:tcPr>
            <w:tcW w:w="1417" w:type="dxa"/>
            <w:tcBorders>
              <w:top w:val="dotted" w:sz="4" w:space="0" w:color="auto"/>
            </w:tcBorders>
          </w:tcPr>
          <w:p w:rsidR="00F30D62" w:rsidRPr="004A2288" w:rsidRDefault="00F30D62" w:rsidP="008E71F2">
            <w:pPr>
              <w:pStyle w:val="PPVTableText"/>
              <w:keepNext/>
              <w:rPr>
                <w:rFonts w:eastAsia="Calibri"/>
              </w:rPr>
            </w:pPr>
            <w:r w:rsidRPr="004A2288">
              <w:rPr>
                <w:rFonts w:eastAsia="Calibri"/>
              </w:rPr>
              <w:t>6 metres</w:t>
            </w:r>
          </w:p>
        </w:tc>
      </w:tr>
      <w:tr w:rsidR="00F30D62" w:rsidRPr="004A2288" w:rsidTr="00D430C3">
        <w:trPr>
          <w:cantSplit/>
        </w:trPr>
        <w:tc>
          <w:tcPr>
            <w:tcW w:w="2127" w:type="dxa"/>
            <w:vMerge/>
          </w:tcPr>
          <w:p w:rsidR="00F30D62" w:rsidRPr="004A2288" w:rsidRDefault="00F30D62" w:rsidP="00D430C3">
            <w:pPr>
              <w:pStyle w:val="PPVTableText"/>
              <w:rPr>
                <w:rFonts w:eastAsia="Calibri"/>
              </w:rPr>
            </w:pPr>
          </w:p>
        </w:tc>
        <w:tc>
          <w:tcPr>
            <w:tcW w:w="2155" w:type="dxa"/>
            <w:vMerge/>
          </w:tcPr>
          <w:p w:rsidR="00F30D62" w:rsidRPr="004A2288" w:rsidRDefault="00F30D62" w:rsidP="00D430C3">
            <w:pPr>
              <w:pStyle w:val="PPVTableText"/>
            </w:pPr>
          </w:p>
        </w:tc>
        <w:tc>
          <w:tcPr>
            <w:tcW w:w="2097" w:type="dxa"/>
          </w:tcPr>
          <w:p w:rsidR="00F30D62" w:rsidRPr="004A2288" w:rsidRDefault="00F30D62" w:rsidP="00D430C3">
            <w:pPr>
              <w:pStyle w:val="PPVTableText"/>
            </w:pPr>
            <w:r w:rsidRPr="004A2288">
              <w:rPr>
                <w:rFonts w:eastAsia="Calibri"/>
              </w:rPr>
              <w:t xml:space="preserve">Within </w:t>
            </w:r>
            <w:r w:rsidR="005805E6">
              <w:rPr>
                <w:rFonts w:eastAsia="Calibri"/>
              </w:rPr>
              <w:t>non-core</w:t>
            </w:r>
          </w:p>
        </w:tc>
        <w:tc>
          <w:tcPr>
            <w:tcW w:w="1418" w:type="dxa"/>
          </w:tcPr>
          <w:p w:rsidR="00F30D62" w:rsidRPr="004A2288" w:rsidRDefault="00F30D62" w:rsidP="00D430C3">
            <w:pPr>
              <w:pStyle w:val="PPVTableText"/>
            </w:pPr>
            <w:r w:rsidRPr="004A2288">
              <w:t>9 metres</w:t>
            </w:r>
          </w:p>
        </w:tc>
        <w:tc>
          <w:tcPr>
            <w:tcW w:w="1417" w:type="dxa"/>
          </w:tcPr>
          <w:p w:rsidR="00F30D62" w:rsidRPr="004A2288" w:rsidRDefault="00F30D62" w:rsidP="00D430C3">
            <w:pPr>
              <w:pStyle w:val="PPVTableText"/>
              <w:rPr>
                <w:rFonts w:eastAsia="Calibri"/>
              </w:rPr>
            </w:pPr>
            <w:r w:rsidRPr="004A2288">
              <w:rPr>
                <w:rFonts w:eastAsia="Calibri"/>
              </w:rPr>
              <w:t>6 metres</w:t>
            </w:r>
          </w:p>
        </w:tc>
      </w:tr>
      <w:tr w:rsidR="00F30D62" w:rsidRPr="004A2288" w:rsidTr="00D430C3">
        <w:trPr>
          <w:cantSplit/>
        </w:trPr>
        <w:tc>
          <w:tcPr>
            <w:tcW w:w="2127" w:type="dxa"/>
            <w:vMerge w:val="restart"/>
          </w:tcPr>
          <w:p w:rsidR="00F30D62" w:rsidRPr="004A2288" w:rsidRDefault="00F30D62" w:rsidP="00D430C3">
            <w:pPr>
              <w:pStyle w:val="PPVTableText"/>
              <w:rPr>
                <w:rFonts w:eastAsia="Calibri"/>
              </w:rPr>
            </w:pPr>
            <w:r w:rsidRPr="004A2288">
              <w:rPr>
                <w:rFonts w:eastAsia="Calibri"/>
              </w:rPr>
              <w:t xml:space="preserve">Above the street wall height </w:t>
            </w:r>
          </w:p>
        </w:tc>
        <w:tc>
          <w:tcPr>
            <w:tcW w:w="2155" w:type="dxa"/>
          </w:tcPr>
          <w:p w:rsidR="00F30D62" w:rsidRPr="004A2288" w:rsidRDefault="00F30D62" w:rsidP="00D430C3">
            <w:pPr>
              <w:pStyle w:val="PPVTableText"/>
              <w:rPr>
                <w:rFonts w:eastAsia="Calibri"/>
              </w:rPr>
            </w:pPr>
            <w:r w:rsidRPr="004A2288">
              <w:t xml:space="preserve">Building height ≤ </w:t>
            </w:r>
            <w:r w:rsidRPr="004A2288">
              <w:rPr>
                <w:rFonts w:eastAsia="Calibri"/>
              </w:rPr>
              <w:t>20 storeys</w:t>
            </w:r>
          </w:p>
        </w:tc>
        <w:tc>
          <w:tcPr>
            <w:tcW w:w="2097" w:type="dxa"/>
          </w:tcPr>
          <w:p w:rsidR="00F30D62" w:rsidRPr="004A2288" w:rsidRDefault="00F30D62" w:rsidP="00D430C3">
            <w:pPr>
              <w:pStyle w:val="PPVTableText"/>
            </w:pPr>
          </w:p>
        </w:tc>
        <w:tc>
          <w:tcPr>
            <w:tcW w:w="1418" w:type="dxa"/>
          </w:tcPr>
          <w:p w:rsidR="00F30D62" w:rsidRPr="004A2288" w:rsidRDefault="00F30D62" w:rsidP="00D430C3">
            <w:pPr>
              <w:pStyle w:val="PPVTableText"/>
            </w:pPr>
            <w:r w:rsidRPr="004A2288">
              <w:t>10 metres</w:t>
            </w:r>
          </w:p>
        </w:tc>
        <w:tc>
          <w:tcPr>
            <w:tcW w:w="1417" w:type="dxa"/>
          </w:tcPr>
          <w:p w:rsidR="00F30D62" w:rsidRPr="004A2288" w:rsidRDefault="00F30D62" w:rsidP="00D430C3">
            <w:pPr>
              <w:pStyle w:val="PPVTableText"/>
              <w:rPr>
                <w:rFonts w:eastAsia="Calibri"/>
              </w:rPr>
            </w:pPr>
            <w:r w:rsidRPr="004A2288">
              <w:rPr>
                <w:rFonts w:eastAsia="Calibri"/>
              </w:rPr>
              <w:t>5 metres</w:t>
            </w:r>
          </w:p>
        </w:tc>
      </w:tr>
      <w:tr w:rsidR="00F30D62" w:rsidRPr="00736974" w:rsidTr="00D430C3">
        <w:trPr>
          <w:cantSplit/>
        </w:trPr>
        <w:tc>
          <w:tcPr>
            <w:tcW w:w="2127" w:type="dxa"/>
            <w:vMerge/>
          </w:tcPr>
          <w:p w:rsidR="00F30D62" w:rsidRPr="004A2288" w:rsidRDefault="00F30D62" w:rsidP="00D430C3">
            <w:pPr>
              <w:pStyle w:val="PPVTableText"/>
            </w:pPr>
          </w:p>
        </w:tc>
        <w:tc>
          <w:tcPr>
            <w:tcW w:w="2155" w:type="dxa"/>
          </w:tcPr>
          <w:p w:rsidR="00F30D62" w:rsidRPr="004A2288" w:rsidRDefault="00F30D62" w:rsidP="00D430C3">
            <w:pPr>
              <w:pStyle w:val="PPVTableText"/>
              <w:rPr>
                <w:rFonts w:eastAsia="Calibri"/>
              </w:rPr>
            </w:pPr>
            <w:r w:rsidRPr="004A2288">
              <w:t>Building height &gt; 20 storeys</w:t>
            </w:r>
          </w:p>
        </w:tc>
        <w:tc>
          <w:tcPr>
            <w:tcW w:w="2097" w:type="dxa"/>
          </w:tcPr>
          <w:p w:rsidR="00F30D62" w:rsidRPr="004A2288" w:rsidRDefault="00F30D62" w:rsidP="00D430C3">
            <w:pPr>
              <w:pStyle w:val="PPVTableText"/>
            </w:pPr>
          </w:p>
        </w:tc>
        <w:tc>
          <w:tcPr>
            <w:tcW w:w="1418" w:type="dxa"/>
          </w:tcPr>
          <w:p w:rsidR="00F30D62" w:rsidRPr="004A2288" w:rsidRDefault="00F30D62" w:rsidP="00D430C3">
            <w:pPr>
              <w:pStyle w:val="PPVTableText"/>
            </w:pPr>
            <w:r w:rsidRPr="004A2288">
              <w:t>10 metres</w:t>
            </w:r>
          </w:p>
        </w:tc>
        <w:tc>
          <w:tcPr>
            <w:tcW w:w="1417" w:type="dxa"/>
          </w:tcPr>
          <w:p w:rsidR="00F30D62" w:rsidRPr="004A2288" w:rsidRDefault="00F30D62" w:rsidP="00D430C3">
            <w:pPr>
              <w:pStyle w:val="PPVTableText"/>
              <w:rPr>
                <w:rFonts w:eastAsia="Calibri"/>
              </w:rPr>
            </w:pPr>
            <w:r w:rsidRPr="004A2288">
              <w:rPr>
                <w:rFonts w:eastAsia="Calibri"/>
              </w:rPr>
              <w:t>10 metres</w:t>
            </w:r>
          </w:p>
        </w:tc>
      </w:tr>
    </w:tbl>
    <w:p w:rsidR="000F6CEE" w:rsidRDefault="000F6CEE" w:rsidP="000F6CEE">
      <w:pPr>
        <w:pStyle w:val="Heading4"/>
      </w:pPr>
      <w:r>
        <w:t>Building separation within a site</w:t>
      </w:r>
    </w:p>
    <w:p w:rsidR="008A083A" w:rsidRDefault="000F6CEE" w:rsidP="000F6CEE">
      <w:pPr>
        <w:pStyle w:val="PPVBody"/>
      </w:pPr>
      <w:r>
        <w:t>Building separation requirements are proposed to protect internal amenity, allow sunlight penetration to open space and streets, and ensure tall buildings do not appear as a continuous wall when viewed from street level.  Greater separation is required between tower elements above the street wall height.  Building separation requirements above the street wall height vary depending on building height.</w:t>
      </w:r>
    </w:p>
    <w:p w:rsidR="00F30D62" w:rsidRPr="001F37BD" w:rsidRDefault="00F30D62" w:rsidP="00F30D62">
      <w:pPr>
        <w:pStyle w:val="Caption"/>
      </w:pPr>
      <w:bookmarkStart w:id="47" w:name="_Toc518403067"/>
      <w:r>
        <w:t>Table 6:</w:t>
      </w:r>
      <w:r>
        <w:tab/>
        <w:t>Sandridge minimum building separation within a site</w:t>
      </w:r>
    </w:p>
    <w:tbl>
      <w:tblPr>
        <w:tblStyle w:val="TableGrid"/>
        <w:tblW w:w="9214"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127"/>
        <w:gridCol w:w="2693"/>
        <w:gridCol w:w="2126"/>
        <w:gridCol w:w="2268"/>
      </w:tblGrid>
      <w:tr w:rsidR="00F30D62" w:rsidRPr="00A66186" w:rsidTr="00D430C3">
        <w:trPr>
          <w:cantSplit/>
          <w:tblHeader/>
        </w:trPr>
        <w:tc>
          <w:tcPr>
            <w:tcW w:w="2127" w:type="dxa"/>
            <w:tcBorders>
              <w:top w:val="nil"/>
              <w:bottom w:val="dotted" w:sz="4" w:space="0" w:color="auto"/>
            </w:tcBorders>
            <w:shd w:val="clear" w:color="auto" w:fill="215868"/>
            <w:vAlign w:val="bottom"/>
          </w:tcPr>
          <w:p w:rsidR="00F30D62" w:rsidRPr="00A66186" w:rsidRDefault="00F30D62" w:rsidP="00D430C3">
            <w:pPr>
              <w:pStyle w:val="PPVTableHeader"/>
            </w:pPr>
            <w:r w:rsidRPr="00A66186">
              <w:t>Part of building</w:t>
            </w:r>
          </w:p>
        </w:tc>
        <w:tc>
          <w:tcPr>
            <w:tcW w:w="2693" w:type="dxa"/>
            <w:tcBorders>
              <w:top w:val="nil"/>
              <w:bottom w:val="dotted" w:sz="4" w:space="0" w:color="auto"/>
            </w:tcBorders>
            <w:shd w:val="clear" w:color="auto" w:fill="215868"/>
            <w:vAlign w:val="bottom"/>
          </w:tcPr>
          <w:p w:rsidR="00F30D62" w:rsidRPr="00A66186" w:rsidRDefault="00F30D62" w:rsidP="00D430C3">
            <w:pPr>
              <w:pStyle w:val="PPVTableHeader"/>
              <w:rPr>
                <w:rFonts w:eastAsia="Calibri"/>
              </w:rPr>
            </w:pPr>
            <w:r w:rsidRPr="00A66186">
              <w:rPr>
                <w:rFonts w:eastAsia="Calibri"/>
              </w:rPr>
              <w:t>Qualification</w:t>
            </w:r>
          </w:p>
        </w:tc>
        <w:tc>
          <w:tcPr>
            <w:tcW w:w="2126" w:type="dxa"/>
            <w:tcBorders>
              <w:top w:val="nil"/>
              <w:bottom w:val="dotted" w:sz="4" w:space="0" w:color="auto"/>
            </w:tcBorders>
            <w:shd w:val="clear" w:color="auto" w:fill="215868"/>
            <w:vAlign w:val="bottom"/>
          </w:tcPr>
          <w:p w:rsidR="00F30D62" w:rsidRPr="00A66186" w:rsidRDefault="00F30D62" w:rsidP="00D430C3">
            <w:pPr>
              <w:pStyle w:val="PPVTableHeader"/>
            </w:pPr>
            <w:r w:rsidRPr="00A66186">
              <w:rPr>
                <w:rFonts w:eastAsia="Calibri"/>
              </w:rPr>
              <w:t>Preferred building separation</w:t>
            </w:r>
          </w:p>
        </w:tc>
        <w:tc>
          <w:tcPr>
            <w:tcW w:w="2268" w:type="dxa"/>
            <w:tcBorders>
              <w:top w:val="nil"/>
              <w:bottom w:val="dotted" w:sz="4" w:space="0" w:color="auto"/>
            </w:tcBorders>
            <w:shd w:val="clear" w:color="auto" w:fill="215868"/>
            <w:vAlign w:val="bottom"/>
          </w:tcPr>
          <w:p w:rsidR="00F30D62" w:rsidRPr="00A66186" w:rsidRDefault="00F30D62" w:rsidP="00D430C3">
            <w:pPr>
              <w:pStyle w:val="PPVTableHeader"/>
            </w:pPr>
            <w:r w:rsidRPr="00A66186">
              <w:rPr>
                <w:rFonts w:eastAsia="Calibri"/>
              </w:rPr>
              <w:t>Minimum building separation</w:t>
            </w:r>
          </w:p>
        </w:tc>
      </w:tr>
      <w:tr w:rsidR="00F30D62" w:rsidRPr="00A66186" w:rsidTr="00D430C3">
        <w:trPr>
          <w:cantSplit/>
        </w:trPr>
        <w:tc>
          <w:tcPr>
            <w:tcW w:w="2127" w:type="dxa"/>
            <w:vMerge w:val="restart"/>
            <w:tcBorders>
              <w:top w:val="dotted" w:sz="4" w:space="0" w:color="auto"/>
            </w:tcBorders>
          </w:tcPr>
          <w:p w:rsidR="00F30D62" w:rsidRPr="00A66186" w:rsidRDefault="00F30D62" w:rsidP="00D430C3">
            <w:pPr>
              <w:pStyle w:val="PPVTableText"/>
            </w:pPr>
            <w:r w:rsidRPr="00A66186">
              <w:t>Below the street wall</w:t>
            </w:r>
          </w:p>
        </w:tc>
        <w:tc>
          <w:tcPr>
            <w:tcW w:w="2693" w:type="dxa"/>
            <w:tcBorders>
              <w:top w:val="dotted" w:sz="4" w:space="0" w:color="auto"/>
            </w:tcBorders>
          </w:tcPr>
          <w:p w:rsidR="00F30D62" w:rsidRPr="00A66186" w:rsidRDefault="00F30D62" w:rsidP="00D430C3">
            <w:pPr>
              <w:pStyle w:val="PPVTableText"/>
            </w:pPr>
            <w:r w:rsidRPr="00A30E74">
              <w:rPr>
                <w:rFonts w:eastAsia="Calibri"/>
              </w:rPr>
              <w:t xml:space="preserve">In </w:t>
            </w:r>
            <w:r w:rsidR="005805E6">
              <w:rPr>
                <w:rFonts w:eastAsia="Calibri"/>
              </w:rPr>
              <w:t>non-core</w:t>
            </w:r>
            <w:r w:rsidRPr="00A30E74">
              <w:rPr>
                <w:rFonts w:eastAsia="Calibri"/>
              </w:rPr>
              <w:t xml:space="preserve"> areas</w:t>
            </w:r>
          </w:p>
        </w:tc>
        <w:tc>
          <w:tcPr>
            <w:tcW w:w="2126" w:type="dxa"/>
            <w:tcBorders>
              <w:top w:val="dotted" w:sz="4" w:space="0" w:color="auto"/>
            </w:tcBorders>
          </w:tcPr>
          <w:p w:rsidR="00F30D62" w:rsidRPr="00A66186" w:rsidRDefault="00F30D62" w:rsidP="00D430C3">
            <w:pPr>
              <w:pStyle w:val="PPVTableText"/>
            </w:pPr>
            <w:r>
              <w:t>9</w:t>
            </w:r>
            <w:r w:rsidR="000333F8">
              <w:t xml:space="preserve"> </w:t>
            </w:r>
            <w:r>
              <w:t>m</w:t>
            </w:r>
            <w:r w:rsidR="00D56235">
              <w:t>etres</w:t>
            </w:r>
          </w:p>
        </w:tc>
        <w:tc>
          <w:tcPr>
            <w:tcW w:w="2268" w:type="dxa"/>
            <w:tcBorders>
              <w:top w:val="dotted" w:sz="4" w:space="0" w:color="auto"/>
            </w:tcBorders>
          </w:tcPr>
          <w:p w:rsidR="00F30D62" w:rsidRPr="00A66186" w:rsidRDefault="00F30D62" w:rsidP="00D430C3">
            <w:pPr>
              <w:pStyle w:val="PPVTableText"/>
            </w:pPr>
            <w:r>
              <w:t>6</w:t>
            </w:r>
            <w:r w:rsidR="000333F8">
              <w:t xml:space="preserve"> </w:t>
            </w:r>
            <w:r>
              <w:t>m</w:t>
            </w:r>
            <w:r w:rsidR="00D56235">
              <w:t>etres</w:t>
            </w:r>
          </w:p>
        </w:tc>
      </w:tr>
      <w:tr w:rsidR="00F30D62" w:rsidRPr="00A66186" w:rsidTr="00D430C3">
        <w:trPr>
          <w:cantSplit/>
        </w:trPr>
        <w:tc>
          <w:tcPr>
            <w:tcW w:w="2127" w:type="dxa"/>
            <w:vMerge/>
          </w:tcPr>
          <w:p w:rsidR="00F30D62" w:rsidRPr="00A66186" w:rsidRDefault="00F30D62" w:rsidP="00D430C3">
            <w:pPr>
              <w:pStyle w:val="PPVTableText"/>
            </w:pPr>
          </w:p>
        </w:tc>
        <w:tc>
          <w:tcPr>
            <w:tcW w:w="2693" w:type="dxa"/>
          </w:tcPr>
          <w:p w:rsidR="00F30D62" w:rsidRPr="00A66186" w:rsidRDefault="00F30D62" w:rsidP="00D430C3">
            <w:pPr>
              <w:pStyle w:val="PPVTableText"/>
            </w:pPr>
            <w:r>
              <w:t>In core areas</w:t>
            </w:r>
          </w:p>
        </w:tc>
        <w:tc>
          <w:tcPr>
            <w:tcW w:w="2126" w:type="dxa"/>
          </w:tcPr>
          <w:p w:rsidR="00F30D62" w:rsidRPr="00A66186" w:rsidRDefault="00F30D62" w:rsidP="00D430C3">
            <w:pPr>
              <w:pStyle w:val="PPVTableText"/>
            </w:pPr>
            <w:r>
              <w:t>12 m</w:t>
            </w:r>
            <w:r w:rsidR="00D56235">
              <w:t>etres</w:t>
            </w:r>
          </w:p>
        </w:tc>
        <w:tc>
          <w:tcPr>
            <w:tcW w:w="2268" w:type="dxa"/>
          </w:tcPr>
          <w:p w:rsidR="00F30D62" w:rsidRPr="00A66186" w:rsidRDefault="00F30D62" w:rsidP="00D430C3">
            <w:pPr>
              <w:pStyle w:val="PPVTableText"/>
            </w:pPr>
            <w:r>
              <w:t>6</w:t>
            </w:r>
            <w:r w:rsidR="000333F8">
              <w:t xml:space="preserve"> </w:t>
            </w:r>
            <w:r>
              <w:t>m</w:t>
            </w:r>
            <w:r w:rsidR="00D56235">
              <w:t>etres</w:t>
            </w:r>
          </w:p>
        </w:tc>
      </w:tr>
      <w:tr w:rsidR="00F30D62" w:rsidRPr="00A66186" w:rsidTr="00D430C3">
        <w:trPr>
          <w:cantSplit/>
        </w:trPr>
        <w:tc>
          <w:tcPr>
            <w:tcW w:w="2127" w:type="dxa"/>
            <w:vMerge w:val="restart"/>
          </w:tcPr>
          <w:p w:rsidR="00F30D62" w:rsidRPr="00A66186" w:rsidRDefault="00F30D62" w:rsidP="00D430C3">
            <w:pPr>
              <w:pStyle w:val="PPVTableText"/>
            </w:pPr>
            <w:r w:rsidRPr="00A66186">
              <w:t>Above the street wall</w:t>
            </w:r>
          </w:p>
        </w:tc>
        <w:tc>
          <w:tcPr>
            <w:tcW w:w="2693" w:type="dxa"/>
          </w:tcPr>
          <w:p w:rsidR="00F30D62" w:rsidRPr="00A66186" w:rsidRDefault="00F30D62" w:rsidP="00D430C3">
            <w:pPr>
              <w:pStyle w:val="PPVTableText"/>
            </w:pPr>
            <w:r w:rsidRPr="00A66186">
              <w:t>A new building up to 20 storeys in height</w:t>
            </w:r>
          </w:p>
        </w:tc>
        <w:tc>
          <w:tcPr>
            <w:tcW w:w="2126" w:type="dxa"/>
          </w:tcPr>
          <w:p w:rsidR="00F30D62" w:rsidRPr="00A66186" w:rsidRDefault="00F30D62" w:rsidP="00D430C3">
            <w:pPr>
              <w:pStyle w:val="PPVTableText"/>
            </w:pPr>
            <w:r w:rsidRPr="00A66186">
              <w:t>20</w:t>
            </w:r>
            <w:r w:rsidR="000333F8">
              <w:t xml:space="preserve"> </w:t>
            </w:r>
            <w:r w:rsidRPr="00A66186">
              <w:t>m</w:t>
            </w:r>
            <w:r w:rsidR="00D56235">
              <w:t>etres</w:t>
            </w:r>
          </w:p>
        </w:tc>
        <w:tc>
          <w:tcPr>
            <w:tcW w:w="2268" w:type="dxa"/>
          </w:tcPr>
          <w:p w:rsidR="00F30D62" w:rsidRPr="00A66186" w:rsidRDefault="00F30D62" w:rsidP="00D430C3">
            <w:pPr>
              <w:pStyle w:val="PPVTableText"/>
            </w:pPr>
            <w:r w:rsidRPr="00A66186">
              <w:t>10</w:t>
            </w:r>
            <w:r w:rsidR="000333F8">
              <w:t xml:space="preserve"> </w:t>
            </w:r>
            <w:r w:rsidRPr="00A66186">
              <w:t>m</w:t>
            </w:r>
            <w:r w:rsidR="00D56235">
              <w:t>etres</w:t>
            </w:r>
          </w:p>
        </w:tc>
      </w:tr>
      <w:tr w:rsidR="00F30D62" w:rsidTr="00D430C3">
        <w:trPr>
          <w:cantSplit/>
        </w:trPr>
        <w:tc>
          <w:tcPr>
            <w:tcW w:w="2127" w:type="dxa"/>
            <w:vMerge/>
          </w:tcPr>
          <w:p w:rsidR="00F30D62" w:rsidRPr="00A66186" w:rsidRDefault="00F30D62" w:rsidP="00D430C3">
            <w:pPr>
              <w:pStyle w:val="PPVTableText"/>
            </w:pPr>
          </w:p>
        </w:tc>
        <w:tc>
          <w:tcPr>
            <w:tcW w:w="2693" w:type="dxa"/>
          </w:tcPr>
          <w:p w:rsidR="00F30D62" w:rsidRPr="00A66186" w:rsidRDefault="00F30D62" w:rsidP="00D430C3">
            <w:pPr>
              <w:pStyle w:val="PPVTableText"/>
            </w:pPr>
            <w:r w:rsidRPr="00A66186">
              <w:t>A new building over 20 storeys in height</w:t>
            </w:r>
          </w:p>
        </w:tc>
        <w:tc>
          <w:tcPr>
            <w:tcW w:w="2126" w:type="dxa"/>
          </w:tcPr>
          <w:p w:rsidR="00F30D62" w:rsidRPr="00A66186" w:rsidRDefault="00F30D62" w:rsidP="00D430C3">
            <w:pPr>
              <w:pStyle w:val="PPVTableText"/>
            </w:pPr>
            <w:r w:rsidRPr="00A66186">
              <w:t>20</w:t>
            </w:r>
            <w:r w:rsidR="000333F8">
              <w:t xml:space="preserve"> </w:t>
            </w:r>
            <w:r w:rsidRPr="00A66186">
              <w:t>m</w:t>
            </w:r>
            <w:r w:rsidR="00D56235">
              <w:t>etres</w:t>
            </w:r>
          </w:p>
        </w:tc>
        <w:tc>
          <w:tcPr>
            <w:tcW w:w="2268" w:type="dxa"/>
          </w:tcPr>
          <w:p w:rsidR="00F30D62" w:rsidRPr="00B02592" w:rsidRDefault="00F30D62" w:rsidP="00D430C3">
            <w:pPr>
              <w:pStyle w:val="PPVTableText"/>
            </w:pPr>
            <w:r w:rsidRPr="00A66186">
              <w:t>20</w:t>
            </w:r>
            <w:r w:rsidR="000333F8">
              <w:t xml:space="preserve"> </w:t>
            </w:r>
            <w:r w:rsidRPr="00A66186">
              <w:t>m</w:t>
            </w:r>
            <w:r w:rsidR="00D56235">
              <w:t>etres</w:t>
            </w:r>
            <w:r w:rsidRPr="004929BE">
              <w:t xml:space="preserve"> </w:t>
            </w:r>
          </w:p>
        </w:tc>
      </w:tr>
    </w:tbl>
    <w:p w:rsidR="000F6CEE" w:rsidRDefault="000F6CEE" w:rsidP="00CF04E6">
      <w:pPr>
        <w:pStyle w:val="Heading2"/>
      </w:pPr>
      <w:bookmarkStart w:id="48" w:name="_Toc519848975"/>
      <w:bookmarkEnd w:id="47"/>
      <w:r>
        <w:t>General urban structure</w:t>
      </w:r>
      <w:bookmarkEnd w:id="48"/>
    </w:p>
    <w:p w:rsidR="0037794F" w:rsidRPr="00CF04E6" w:rsidRDefault="0037794F" w:rsidP="0037794F">
      <w:pPr>
        <w:pStyle w:val="Heading4"/>
      </w:pPr>
      <w:r w:rsidRPr="00445060">
        <w:t>Submissions</w:t>
      </w:r>
      <w:r>
        <w:t xml:space="preserve"> and evidence</w:t>
      </w:r>
    </w:p>
    <w:p w:rsidR="0037794F" w:rsidRDefault="0037794F" w:rsidP="0037794F">
      <w:pPr>
        <w:pStyle w:val="PPVBody"/>
      </w:pPr>
      <w:r>
        <w:t xml:space="preserve">The Minister submitted that the built form controls in </w:t>
      </w:r>
      <w:r w:rsidR="00A06053">
        <w:t>Sandridge</w:t>
      </w:r>
      <w:r>
        <w:t xml:space="preserve"> are designed to achieve the preferred character and built form outcomes sought in the Vision and reflected in the revised </w:t>
      </w:r>
      <w:r w:rsidR="00B07A3B">
        <w:t xml:space="preserve">draft </w:t>
      </w:r>
      <w:r w:rsidR="00FC4BF8">
        <w:t>Amendment</w:t>
      </w:r>
      <w:r>
        <w:t>, namely:</w:t>
      </w:r>
    </w:p>
    <w:p w:rsidR="00DF38AE" w:rsidRDefault="00FC4BF8" w:rsidP="00BB2317">
      <w:pPr>
        <w:pStyle w:val="PPVBullet1"/>
        <w:rPr>
          <w:rFonts w:eastAsia="Calibri"/>
        </w:rPr>
      </w:pPr>
      <w:r>
        <w:rPr>
          <w:rFonts w:eastAsia="Calibri"/>
        </w:rPr>
        <w:t>p</w:t>
      </w:r>
      <w:r w:rsidRPr="00FC4BF8">
        <w:rPr>
          <w:rFonts w:eastAsia="Calibri"/>
        </w:rPr>
        <w:t xml:space="preserve">redominantly tower developments in the core area with some </w:t>
      </w:r>
      <w:r w:rsidR="00506440">
        <w:rPr>
          <w:rFonts w:eastAsia="Calibri"/>
        </w:rPr>
        <w:t>mid-rise buildings</w:t>
      </w:r>
    </w:p>
    <w:p w:rsidR="00FC4BF8" w:rsidRDefault="00506440" w:rsidP="00BB2317">
      <w:pPr>
        <w:pStyle w:val="PPVBullet1"/>
        <w:rPr>
          <w:rFonts w:eastAsia="Calibri"/>
        </w:rPr>
      </w:pPr>
      <w:r>
        <w:rPr>
          <w:rFonts w:eastAsia="Calibri"/>
        </w:rPr>
        <w:t>m</w:t>
      </w:r>
      <w:r w:rsidR="00FC4BF8" w:rsidRPr="00A30E74">
        <w:rPr>
          <w:rFonts w:eastAsia="Calibri"/>
        </w:rPr>
        <w:t>id</w:t>
      </w:r>
      <w:r w:rsidR="00FE5EED">
        <w:rPr>
          <w:rFonts w:eastAsia="Calibri"/>
        </w:rPr>
        <w:t>-</w:t>
      </w:r>
      <w:r w:rsidR="00FC4BF8" w:rsidRPr="00A30E74">
        <w:rPr>
          <w:rFonts w:eastAsia="Calibri"/>
        </w:rPr>
        <w:t>high</w:t>
      </w:r>
      <w:r w:rsidR="00FC4BF8">
        <w:rPr>
          <w:rFonts w:eastAsia="Calibri"/>
        </w:rPr>
        <w:t>-</w:t>
      </w:r>
      <w:r w:rsidR="00FC4BF8" w:rsidRPr="00A30E74">
        <w:rPr>
          <w:rFonts w:eastAsia="Calibri"/>
        </w:rPr>
        <w:t>rise developments including hybrid of mid-rise peri</w:t>
      </w:r>
      <w:r w:rsidR="00FC4BF8">
        <w:rPr>
          <w:rFonts w:eastAsia="Calibri"/>
        </w:rPr>
        <w:t>meter blocks and slender towers in areas around the core</w:t>
      </w:r>
    </w:p>
    <w:p w:rsidR="00FC4BF8" w:rsidRDefault="00FC4BF8" w:rsidP="00FC4BF8">
      <w:pPr>
        <w:pStyle w:val="PPVBullet1"/>
        <w:rPr>
          <w:rFonts w:eastAsia="Calibri"/>
        </w:rPr>
      </w:pPr>
      <w:r>
        <w:rPr>
          <w:rFonts w:eastAsia="Calibri"/>
        </w:rPr>
        <w:t>l</w:t>
      </w:r>
      <w:r w:rsidRPr="00A30E74">
        <w:rPr>
          <w:rFonts w:eastAsia="Calibri"/>
        </w:rPr>
        <w:t>ow-mid</w:t>
      </w:r>
      <w:r>
        <w:rPr>
          <w:rFonts w:eastAsia="Calibri"/>
        </w:rPr>
        <w:t>-</w:t>
      </w:r>
      <w:r w:rsidRPr="00A30E74">
        <w:rPr>
          <w:rFonts w:eastAsia="Calibri"/>
        </w:rPr>
        <w:t xml:space="preserve">rise scale </w:t>
      </w:r>
      <w:r>
        <w:rPr>
          <w:rFonts w:eastAsia="Calibri"/>
        </w:rPr>
        <w:t>of development that incorporate</w:t>
      </w:r>
      <w:r w:rsidR="00FE5EED">
        <w:rPr>
          <w:rFonts w:eastAsia="Calibri"/>
        </w:rPr>
        <w:t>s</w:t>
      </w:r>
      <w:r w:rsidRPr="00A30E74">
        <w:rPr>
          <w:rFonts w:eastAsia="Calibri"/>
        </w:rPr>
        <w:t xml:space="preserve"> communal open space and responds to the context and character of a</w:t>
      </w:r>
      <w:r>
        <w:rPr>
          <w:rFonts w:eastAsia="Calibri"/>
        </w:rPr>
        <w:t>djacent low-rise neighbourhoods in areas with an interface to existing development and North Port Oval</w:t>
      </w:r>
      <w:r w:rsidRPr="00A30E74">
        <w:rPr>
          <w:rFonts w:eastAsia="Calibri"/>
        </w:rPr>
        <w:t>.</w:t>
      </w:r>
    </w:p>
    <w:p w:rsidR="00F34F9B" w:rsidRDefault="00F34F9B" w:rsidP="00F34F9B">
      <w:pPr>
        <w:pStyle w:val="PPVBody"/>
        <w:rPr>
          <w:rFonts w:eastAsia="Calibri"/>
        </w:rPr>
      </w:pPr>
      <w:r>
        <w:rPr>
          <w:rFonts w:eastAsia="Calibri"/>
        </w:rPr>
        <w:t>It is intended that a</w:t>
      </w:r>
      <w:r w:rsidR="00FC4BF8" w:rsidRPr="00A30E74">
        <w:rPr>
          <w:rFonts w:eastAsia="Calibri"/>
        </w:rPr>
        <w:t xml:space="preserve"> variety of street wall heights between 4 and 8 storeys </w:t>
      </w:r>
      <w:r>
        <w:rPr>
          <w:rFonts w:eastAsia="Calibri"/>
        </w:rPr>
        <w:t>will</w:t>
      </w:r>
      <w:r w:rsidR="00FC4BF8" w:rsidRPr="00A30E74">
        <w:rPr>
          <w:rFonts w:eastAsia="Calibri"/>
        </w:rPr>
        <w:t xml:space="preserve"> contribute to architectural diversity within the street and provide opportunities for portions of the street to receive greater levels of sunlight access throughout the day.</w:t>
      </w:r>
    </w:p>
    <w:p w:rsidR="002B2752" w:rsidRDefault="002B2752" w:rsidP="002B2752">
      <w:pPr>
        <w:pStyle w:val="PPVBody"/>
      </w:pPr>
      <w:r>
        <w:t>Port Phillip submitted that the cumulative effect of its proposed parks, community hubs</w:t>
      </w:r>
      <w:r w:rsidR="00995F30">
        <w:t xml:space="preserve"> and</w:t>
      </w:r>
      <w:r>
        <w:t xml:space="preserve"> heights, along with the clustering of retail and commercial activity, provide some of the ‘meat’ to fit the ‘bones’ of the urban structure that is required for Sandridge to reach the potential outlined for it within the Vision.</w:t>
      </w:r>
    </w:p>
    <w:p w:rsidR="00FC4BF8" w:rsidRDefault="00F34F9B" w:rsidP="00F34F9B">
      <w:pPr>
        <w:pStyle w:val="PPVBody"/>
        <w:rPr>
          <w:rFonts w:eastAsia="Calibri"/>
        </w:rPr>
      </w:pPr>
      <w:r>
        <w:rPr>
          <w:rFonts w:eastAsia="Calibri"/>
        </w:rPr>
        <w:t xml:space="preserve">Port Phillip presented a more detailed urban structure plan presented at </w:t>
      </w:r>
      <w:r w:rsidR="002B2752">
        <w:rPr>
          <w:rFonts w:eastAsia="Calibri"/>
        </w:rPr>
        <w:fldChar w:fldCharType="begin"/>
      </w:r>
      <w:r w:rsidR="002B2752">
        <w:rPr>
          <w:rFonts w:eastAsia="Calibri"/>
        </w:rPr>
        <w:instrText xml:space="preserve"> REF _Ref519181830 \h </w:instrText>
      </w:r>
      <w:r w:rsidR="002B2752">
        <w:rPr>
          <w:rFonts w:eastAsia="Calibri"/>
        </w:rPr>
      </w:r>
      <w:r w:rsidR="002B2752">
        <w:rPr>
          <w:rFonts w:eastAsia="Calibri"/>
        </w:rPr>
        <w:fldChar w:fldCharType="separate"/>
      </w:r>
      <w:r w:rsidR="00AA0E65">
        <w:t xml:space="preserve">Figure </w:t>
      </w:r>
      <w:r w:rsidR="00AA0E65">
        <w:rPr>
          <w:noProof/>
        </w:rPr>
        <w:t>6</w:t>
      </w:r>
      <w:r w:rsidR="002B2752">
        <w:rPr>
          <w:rFonts w:eastAsia="Calibri"/>
        </w:rPr>
        <w:fldChar w:fldCharType="end"/>
      </w:r>
      <w:r w:rsidR="002B2752">
        <w:rPr>
          <w:rFonts w:eastAsia="Calibri"/>
        </w:rPr>
        <w:t>.</w:t>
      </w:r>
    </w:p>
    <w:p w:rsidR="00F34F9B" w:rsidRDefault="002B2752" w:rsidP="002B2752">
      <w:pPr>
        <w:pStyle w:val="Caption"/>
      </w:pPr>
      <w:bookmarkStart w:id="49" w:name="_Ref519181830"/>
      <w:bookmarkStart w:id="50" w:name="_Toc519849019"/>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6</w:t>
      </w:r>
      <w:r w:rsidR="009271C1">
        <w:rPr>
          <w:noProof/>
        </w:rPr>
        <w:fldChar w:fldCharType="end"/>
      </w:r>
      <w:bookmarkEnd w:id="49"/>
      <w:r>
        <w:t>:</w:t>
      </w:r>
      <w:r>
        <w:tab/>
        <w:t>Port Phillip’s proposed urban structure</w:t>
      </w:r>
      <w:bookmarkEnd w:id="50"/>
    </w:p>
    <w:p w:rsidR="0037794F" w:rsidRDefault="0037794F" w:rsidP="0037794F">
      <w:pPr>
        <w:pStyle w:val="PPVBody"/>
      </w:pPr>
      <w:r w:rsidRPr="00525F2F">
        <w:rPr>
          <w:noProof/>
        </w:rPr>
        <w:drawing>
          <wp:inline distT="0" distB="0" distL="0" distR="0" wp14:anchorId="4367AB39" wp14:editId="7B2086FD">
            <wp:extent cx="5759450" cy="309741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097416"/>
                    </a:xfrm>
                    <a:prstGeom prst="rect">
                      <a:avLst/>
                    </a:prstGeom>
                    <a:noFill/>
                    <a:ln>
                      <a:noFill/>
                    </a:ln>
                  </pic:spPr>
                </pic:pic>
              </a:graphicData>
            </a:graphic>
          </wp:inline>
        </w:drawing>
      </w:r>
    </w:p>
    <w:p w:rsidR="00506440" w:rsidRDefault="00B70CA6" w:rsidP="00506440">
      <w:pPr>
        <w:pStyle w:val="PPVSource"/>
      </w:pPr>
      <w:r>
        <w:t>Source:</w:t>
      </w:r>
      <w:r>
        <w:tab/>
      </w:r>
      <w:r w:rsidR="00506440">
        <w:t>Enlarged plan from DS1 (DS4)</w:t>
      </w:r>
    </w:p>
    <w:p w:rsidR="0037794F" w:rsidRDefault="002B2752" w:rsidP="0037794F">
      <w:r>
        <w:t xml:space="preserve">The Minister accepted the need for a plan </w:t>
      </w:r>
      <w:r w:rsidR="0037794F">
        <w:t>depicting the urban structure</w:t>
      </w:r>
      <w:r>
        <w:t>, and these were</w:t>
      </w:r>
      <w:r w:rsidR="0037794F">
        <w:t xml:space="preserve"> presented in the Part C controls.</w:t>
      </w:r>
    </w:p>
    <w:p w:rsidR="005E3313" w:rsidRPr="005E3313" w:rsidRDefault="005E3313" w:rsidP="005E3313">
      <w:pPr>
        <w:pStyle w:val="PPVBody"/>
      </w:pPr>
      <w:r w:rsidRPr="005E3313">
        <w:t xml:space="preserve">Port Phillip submitted that the core and </w:t>
      </w:r>
      <w:r w:rsidR="005805E6">
        <w:t>non-core</w:t>
      </w:r>
      <w:r w:rsidRPr="005E3313">
        <w:t xml:space="preserve"> areas should be adjusted to:</w:t>
      </w:r>
    </w:p>
    <w:p w:rsidR="005E3313" w:rsidRPr="005E3313" w:rsidRDefault="005E3313" w:rsidP="005E3313">
      <w:pPr>
        <w:pStyle w:val="PPVBullet1"/>
      </w:pPr>
      <w:r w:rsidRPr="005E3313">
        <w:t>Change the block bound by Bertie Street, Bridge Street, the West Gate Freeway and the new east–west street (the northern street block within 155 Bertie Street</w:t>
      </w:r>
      <w:r w:rsidR="00D56235">
        <w:t>; (Toyota site)</w:t>
      </w:r>
      <w:r w:rsidRPr="005E3313">
        <w:t xml:space="preserve">) to </w:t>
      </w:r>
      <w:r w:rsidR="00D3130C">
        <w:t>non-core area</w:t>
      </w:r>
      <w:r w:rsidRPr="005E3313">
        <w:t>.</w:t>
      </w:r>
    </w:p>
    <w:p w:rsidR="005E3313" w:rsidRPr="005E3313" w:rsidRDefault="005E3313" w:rsidP="005E3313">
      <w:pPr>
        <w:pStyle w:val="PPVBullet1"/>
      </w:pPr>
      <w:r w:rsidRPr="005E3313">
        <w:t xml:space="preserve">Change the block bound by Bertie Street, Bridge Street, Woolboard Road extension and the new </w:t>
      </w:r>
      <w:r w:rsidR="004A4127">
        <w:t>east–west</w:t>
      </w:r>
      <w:r w:rsidRPr="005E3313">
        <w:t xml:space="preserve"> street (the southern street block within 155 Bertie Street) to </w:t>
      </w:r>
      <w:r w:rsidR="004A4127">
        <w:t>core area</w:t>
      </w:r>
      <w:r w:rsidRPr="005E3313">
        <w:t>.</w:t>
      </w:r>
    </w:p>
    <w:p w:rsidR="005E3313" w:rsidRDefault="005E3313" w:rsidP="005E3313">
      <w:r>
        <w:t>The Minister accepted</w:t>
      </w:r>
      <w:r w:rsidRPr="00D83529">
        <w:t xml:space="preserve"> </w:t>
      </w:r>
      <w:r>
        <w:t xml:space="preserve">this recommendation in part.  The Minister accepted the designation of all land in 155 Bertie Street south of the proposed new road within the </w:t>
      </w:r>
      <w:r w:rsidR="004A4127">
        <w:t>core area</w:t>
      </w:r>
      <w:r>
        <w:t>.  He submitted that the area to the north of the proposed new road should remain</w:t>
      </w:r>
      <w:r w:rsidR="00995F30">
        <w:t xml:space="preserve"> in</w:t>
      </w:r>
      <w:r>
        <w:t xml:space="preserve"> the </w:t>
      </w:r>
      <w:r w:rsidR="00D3130C">
        <w:t>non-core</w:t>
      </w:r>
      <w:r>
        <w:t xml:space="preserve"> area.</w:t>
      </w:r>
    </w:p>
    <w:p w:rsidR="00995F30" w:rsidRDefault="00995F30" w:rsidP="00995F30">
      <w:pPr>
        <w:pStyle w:val="PPVBody"/>
      </w:pPr>
      <w:r>
        <w:t>Mr Sheppard was in broad agreement with many of Port Phillip’s propositions in relation to Sandridge.</w:t>
      </w:r>
    </w:p>
    <w:p w:rsidR="0037794F" w:rsidRDefault="0037794F" w:rsidP="0037794F">
      <w:pPr>
        <w:pStyle w:val="Heading4"/>
      </w:pPr>
      <w:r>
        <w:t>Discussion</w:t>
      </w:r>
    </w:p>
    <w:p w:rsidR="002B2752" w:rsidRDefault="002B2752" w:rsidP="002B2752">
      <w:pPr>
        <w:pStyle w:val="PPVBody"/>
      </w:pPr>
      <w:r>
        <w:t xml:space="preserve">The Review Panel is broadly supportive of the urban structure proposed by the Minister and believes that </w:t>
      </w:r>
      <w:r w:rsidR="008E0241">
        <w:t xml:space="preserve">the </w:t>
      </w:r>
      <w:r>
        <w:t>preferred character is reasonable and can be achieved.</w:t>
      </w:r>
      <w:r w:rsidR="00995F30">
        <w:t xml:space="preserve">  </w:t>
      </w:r>
      <w:r>
        <w:t>The character in Sandridge will be partly achieved by the high-rise forms in the core.  The Review Panel sup</w:t>
      </w:r>
      <w:r w:rsidR="001226E6">
        <w:t>ports this scale of development given its proposed role as a metropolitan significant employment centre.</w:t>
      </w:r>
    </w:p>
    <w:p w:rsidR="0037794F" w:rsidRPr="0037794F" w:rsidRDefault="002B2752" w:rsidP="002B2752">
      <w:pPr>
        <w:pStyle w:val="PPVBody"/>
      </w:pPr>
      <w:r>
        <w:t xml:space="preserve">It will be important to attract commercial development to </w:t>
      </w:r>
      <w:r w:rsidR="003F5F97">
        <w:t>Sandridge</w:t>
      </w:r>
      <w:r>
        <w:t xml:space="preserve"> if the </w:t>
      </w:r>
      <w:r w:rsidR="00995F30">
        <w:t xml:space="preserve">Vision </w:t>
      </w:r>
      <w:r>
        <w:t>is to be achieved</w:t>
      </w:r>
      <w:r w:rsidR="003F5F97">
        <w:t>.  The built form envelopes allow for this but the restriction on non</w:t>
      </w:r>
      <w:r w:rsidR="00FF1251">
        <w:t>-</w:t>
      </w:r>
      <w:r w:rsidR="003F5F97">
        <w:t>dwelling FAR in the Part C controls appear</w:t>
      </w:r>
      <w:r w:rsidR="00995F30">
        <w:t>s</w:t>
      </w:r>
      <w:r w:rsidR="003F5F97">
        <w:t xml:space="preserve"> contrary to that </w:t>
      </w:r>
      <w:r w:rsidR="00995F30">
        <w:t>Vision</w:t>
      </w:r>
      <w:r w:rsidR="003F5F97">
        <w:t>.</w:t>
      </w:r>
    </w:p>
    <w:p w:rsidR="00CF04E6" w:rsidRDefault="00CF04E6" w:rsidP="00CF04E6">
      <w:pPr>
        <w:pStyle w:val="Heading2"/>
      </w:pPr>
      <w:bookmarkStart w:id="51" w:name="_Toc519848976"/>
      <w:r>
        <w:t>Achieving a varied building typology</w:t>
      </w:r>
      <w:bookmarkEnd w:id="51"/>
    </w:p>
    <w:p w:rsidR="001C075A" w:rsidRDefault="0037794F" w:rsidP="001C075A">
      <w:pPr>
        <w:pStyle w:val="Heading4"/>
      </w:pPr>
      <w:r>
        <w:t>Submissions and evidence</w:t>
      </w:r>
    </w:p>
    <w:p w:rsidR="001C075A" w:rsidRDefault="001C075A" w:rsidP="001C075A">
      <w:pPr>
        <w:pStyle w:val="PPVBody"/>
      </w:pPr>
      <w:r>
        <w:t>Port Phillip relied on the evidence of Ms Hodyl</w:t>
      </w:r>
      <w:r w:rsidR="007979E7">
        <w:rPr>
          <w:rStyle w:val="FootnoteReference"/>
        </w:rPr>
        <w:footnoteReference w:id="6"/>
      </w:r>
      <w:r>
        <w:t xml:space="preserve"> and Mr McPherson in relation to the appropriateness of the FARs</w:t>
      </w:r>
      <w:r w:rsidR="00995F30">
        <w:t>,</w:t>
      </w:r>
      <w:r>
        <w:t xml:space="preserve"> noting that they have been compared to other similar redevelopment areas around the world and found to be in a similar range.</w:t>
      </w:r>
    </w:p>
    <w:p w:rsidR="0037794F" w:rsidRPr="00BE545C" w:rsidRDefault="0037794F" w:rsidP="0037794F">
      <w:pPr>
        <w:pStyle w:val="PPVBody"/>
      </w:pPr>
      <w:r w:rsidRPr="00BE545C">
        <w:t xml:space="preserve">Mr Sheppard recommended that detailed </w:t>
      </w:r>
      <w:r w:rsidR="007E4074">
        <w:t>Precinct Plan</w:t>
      </w:r>
      <w:r w:rsidRPr="00BE545C">
        <w:t xml:space="preserve">s be prepared, in conjunction with landowners, to resolve the optimum built form model, density and open space pattern for </w:t>
      </w:r>
      <w:r w:rsidR="00C343AE">
        <w:t>each part of Sandridge.</w:t>
      </w:r>
    </w:p>
    <w:p w:rsidR="005E3313" w:rsidRDefault="0037794F" w:rsidP="0037794F">
      <w:pPr>
        <w:pStyle w:val="PPVBody"/>
      </w:pPr>
      <w:r w:rsidRPr="00BE545C">
        <w:t xml:space="preserve">The Minister accepted that the Precinct Plans are of significant importance, and that the preparation of the detailed Precinct Plans would greatly assist with the implementation of the draft Framework and built form outcomes envisaged for each distinct </w:t>
      </w:r>
      <w:r w:rsidR="00BA473B">
        <w:t>P</w:t>
      </w:r>
      <w:r w:rsidRPr="00BE545C">
        <w:t>recinct.</w:t>
      </w:r>
      <w:r w:rsidR="008E0241">
        <w:t xml:space="preserve">  </w:t>
      </w:r>
      <w:r w:rsidRPr="00BE545C">
        <w:t>However</w:t>
      </w:r>
      <w:r w:rsidR="008E0241">
        <w:t>,</w:t>
      </w:r>
      <w:r w:rsidRPr="00BE545C">
        <w:t xml:space="preserve"> </w:t>
      </w:r>
      <w:r w:rsidR="008E0241">
        <w:t xml:space="preserve">the Minister submitted that </w:t>
      </w:r>
      <w:r w:rsidRPr="00BE545C">
        <w:t xml:space="preserve">it is not proposed to revisit </w:t>
      </w:r>
      <w:r w:rsidR="00995F30">
        <w:t xml:space="preserve">FARs </w:t>
      </w:r>
      <w:r w:rsidRPr="00BE545C">
        <w:t>or heights as part of the Precinct Plan process.</w:t>
      </w:r>
    </w:p>
    <w:p w:rsidR="0037794F" w:rsidRDefault="0037794F" w:rsidP="0037794F">
      <w:pPr>
        <w:pStyle w:val="Heading4"/>
      </w:pPr>
      <w:r>
        <w:t>Discussion</w:t>
      </w:r>
    </w:p>
    <w:p w:rsidR="00DF38AE" w:rsidRDefault="00B03766" w:rsidP="0037794F">
      <w:pPr>
        <w:pStyle w:val="PPVBody"/>
      </w:pPr>
      <w:r w:rsidRPr="0007485C">
        <w:t xml:space="preserve">The Review Panel is </w:t>
      </w:r>
      <w:r w:rsidR="00001617" w:rsidRPr="0007485C">
        <w:t xml:space="preserve">broadly </w:t>
      </w:r>
      <w:r w:rsidRPr="0007485C">
        <w:t xml:space="preserve">comfortable with the </w:t>
      </w:r>
      <w:r w:rsidR="00FE3C10" w:rsidRPr="0007485C">
        <w:t>typologies and character statements</w:t>
      </w:r>
      <w:r w:rsidRPr="0007485C">
        <w:t xml:space="preserve"> proposed </w:t>
      </w:r>
      <w:r w:rsidR="00995F30">
        <w:t xml:space="preserve">for Sandridge, </w:t>
      </w:r>
      <w:r w:rsidRPr="0007485C">
        <w:t>given the ultimate role for the Precinct.</w:t>
      </w:r>
      <w:r w:rsidR="00995F30">
        <w:t xml:space="preserve">  </w:t>
      </w:r>
      <w:r w:rsidR="00DF38AE" w:rsidRPr="0007485C">
        <w:t xml:space="preserve">This is a </w:t>
      </w:r>
      <w:r w:rsidR="00BA473B">
        <w:t>P</w:t>
      </w:r>
      <w:r w:rsidR="00DF38AE" w:rsidRPr="0007485C">
        <w:t>recinct that will have a metropolitan role as an employment centre and the Review</w:t>
      </w:r>
      <w:r w:rsidR="00DF38AE">
        <w:t xml:space="preserve"> Panel considers that the t</w:t>
      </w:r>
      <w:r w:rsidR="00403B5E">
        <w:t>ypologies and character statement</w:t>
      </w:r>
      <w:r w:rsidR="00DF38AE">
        <w:t>s</w:t>
      </w:r>
      <w:r w:rsidR="00403B5E">
        <w:t xml:space="preserve"> </w:t>
      </w:r>
      <w:r w:rsidR="00DF38AE">
        <w:t xml:space="preserve">in the draft Amendment are consistent with this </w:t>
      </w:r>
      <w:r w:rsidR="00995F30">
        <w:t>V</w:t>
      </w:r>
      <w:r w:rsidR="00DF38AE">
        <w:t>ision.</w:t>
      </w:r>
    </w:p>
    <w:p w:rsidR="00995F30" w:rsidRPr="0007485C" w:rsidRDefault="00995F30" w:rsidP="00995F30">
      <w:pPr>
        <w:pStyle w:val="PPVBody"/>
      </w:pPr>
      <w:r>
        <w:t xml:space="preserve">The Review Panel has recommended many changes to the DDOs to strengthen the links to the preferred typologies, and to generally improve their clarity, readability and application.  </w:t>
      </w:r>
      <w:r w:rsidRPr="0007485C">
        <w:t>These changes will support the delivery the proposed building typologies</w:t>
      </w:r>
      <w:r>
        <w:t xml:space="preserve"> and preferred characters</w:t>
      </w:r>
      <w:r w:rsidRPr="0007485C">
        <w:t>.</w:t>
      </w:r>
    </w:p>
    <w:p w:rsidR="007B523F" w:rsidRPr="004938D3" w:rsidRDefault="007B523F" w:rsidP="007B523F">
      <w:pPr>
        <w:pStyle w:val="Heading2"/>
      </w:pPr>
      <w:bookmarkStart w:id="52" w:name="_Toc519848977"/>
      <w:r>
        <w:t>Proposed density</w:t>
      </w:r>
      <w:bookmarkEnd w:id="52"/>
    </w:p>
    <w:p w:rsidR="007B523F" w:rsidRDefault="007B523F" w:rsidP="007B523F">
      <w:pPr>
        <w:pStyle w:val="PPVBody"/>
      </w:pPr>
      <w:r>
        <w:t>The proposed F</w:t>
      </w:r>
      <w:r w:rsidR="00FF1251">
        <w:t>AR</w:t>
      </w:r>
      <w:r>
        <w:t xml:space="preserve"> controls for the Sandridge core area are 8.1:1 with a minimum commercial FAR of 3.7:1.</w:t>
      </w:r>
      <w:r w:rsidR="008E0241">
        <w:t xml:space="preserve">  </w:t>
      </w:r>
      <w:r>
        <w:t>The Sandridge non-core FAR controls are proposed at 3.3:1.</w:t>
      </w:r>
      <w:r w:rsidR="009B22DC">
        <w:t xml:space="preserve"> </w:t>
      </w:r>
    </w:p>
    <w:p w:rsidR="007B523F" w:rsidRDefault="007B523F" w:rsidP="007B523F">
      <w:pPr>
        <w:pStyle w:val="PPVBody"/>
      </w:pPr>
      <w:r w:rsidRPr="007B523F">
        <w:t>The Overview Report discussed the issues of the FAR</w:t>
      </w:r>
      <w:r w:rsidR="00995F30">
        <w:t>s</w:t>
      </w:r>
      <w:r w:rsidRPr="007B523F">
        <w:t xml:space="preserve"> in Chapter 7</w:t>
      </w:r>
      <w:r w:rsidR="008E0241">
        <w:t>.</w:t>
      </w:r>
    </w:p>
    <w:p w:rsidR="00995F30" w:rsidRDefault="00995F30" w:rsidP="00995F30">
      <w:pPr>
        <w:pStyle w:val="PPVBody"/>
      </w:pPr>
      <w:r>
        <w:t xml:space="preserve">For reasons outlined in the Overview Report, the Review Panel does not support the FARs, and recommends that they be replaced with a dwelling density control.  Chapter 7.8 of the Overview Report explains the starting point for the Review Panel’s recommended dwelling densities in each precinct.  They are based on the FARs, translated to dwelling densities.  The starting point for Sandridge is a dwelling density of </w:t>
      </w:r>
      <w:r w:rsidR="00166E4E">
        <w:t>414</w:t>
      </w:r>
      <w:r>
        <w:t xml:space="preserve"> dwellings per hectare in the core and </w:t>
      </w:r>
      <w:r w:rsidR="00166E4E">
        <w:t>205</w:t>
      </w:r>
      <w:r>
        <w:t xml:space="preserve"> dwellings per hectare in the non-core (see Table 16 in Chapter 7.8(ii) of the Overview Report).</w:t>
      </w:r>
    </w:p>
    <w:p w:rsidR="00995F30" w:rsidRDefault="00995F30" w:rsidP="00995F30">
      <w:pPr>
        <w:pStyle w:val="Heading4"/>
      </w:pPr>
      <w:r>
        <w:t>Is this the right density?</w:t>
      </w:r>
    </w:p>
    <w:p w:rsidR="009B22DC" w:rsidRDefault="009B22DC" w:rsidP="009B22DC">
      <w:pPr>
        <w:pStyle w:val="PPVBody"/>
      </w:pPr>
      <w:r>
        <w:t xml:space="preserve">As </w:t>
      </w:r>
      <w:r w:rsidRPr="007B523F">
        <w:t>discussed in the Overview Report, the Review Panel shares the broad concerns that the restrictions on residential development have been set too low, given the potential for Fishermans Bend to help house Melbourne’s growth.  The Review Panel has concluded for Sandridge non-core that a modest increase of 10 per cent in residential development</w:t>
      </w:r>
      <w:r>
        <w:t xml:space="preserve"> potential is appropriate.</w:t>
      </w:r>
    </w:p>
    <w:p w:rsidR="00995F30" w:rsidRDefault="00995F30" w:rsidP="00995F30">
      <w:pPr>
        <w:pStyle w:val="PPVBody"/>
      </w:pPr>
      <w:r>
        <w:t xml:space="preserve">The Review Panel has found that: </w:t>
      </w:r>
    </w:p>
    <w:p w:rsidR="00995F30" w:rsidRDefault="00995F30" w:rsidP="00995F30">
      <w:pPr>
        <w:pStyle w:val="PPVBullet1"/>
      </w:pPr>
      <w:r>
        <w:t xml:space="preserve">the target population of 80,000 for Fishermans Bend is too low, given its status as a State significant urban renewal area and its potential to provide a greater contribution to help cater for Melbourne’s growth </w:t>
      </w:r>
    </w:p>
    <w:p w:rsidR="00995F30" w:rsidRDefault="00995F30" w:rsidP="00995F30">
      <w:pPr>
        <w:pStyle w:val="PPVBullet1"/>
      </w:pPr>
      <w:r>
        <w:t xml:space="preserve">planning for Fishermans Bend should proceed on the basis of a target population in the range of 80,000 to 120,000 by 2050 </w:t>
      </w:r>
    </w:p>
    <w:p w:rsidR="00995F30" w:rsidRDefault="00995F30" w:rsidP="00995F30">
      <w:pPr>
        <w:pStyle w:val="PPVBullet1"/>
      </w:pPr>
      <w:r>
        <w:t xml:space="preserve">all of the preferred typologies can deliver residential densities of at least 4:1 </w:t>
      </w:r>
    </w:p>
    <w:p w:rsidR="00995F30" w:rsidRDefault="00995F30" w:rsidP="00995F30">
      <w:pPr>
        <w:pStyle w:val="PPVBullet1"/>
      </w:pPr>
      <w:r>
        <w:t xml:space="preserve">there is scope to increase the densities without compromising the building typologies and preferred characters, with the possible exception of Lorimer, Montague core and Sandridge core (where the proposed densities are already higher than 4:1). </w:t>
      </w:r>
    </w:p>
    <w:p w:rsidR="00995F30" w:rsidRDefault="00995F30" w:rsidP="00995F30">
      <w:pPr>
        <w:pStyle w:val="PPVBody"/>
      </w:pPr>
      <w:r>
        <w:t xml:space="preserve">These findings are discussed in detail in Chapters 6 and 7 of the Overview Report. </w:t>
      </w:r>
    </w:p>
    <w:p w:rsidR="00995F30" w:rsidRPr="009B07F1" w:rsidRDefault="00995F30" w:rsidP="00995F30">
      <w:pPr>
        <w:pStyle w:val="PPVBody"/>
      </w:pPr>
      <w:r>
        <w:t xml:space="preserve">This raises the question of by how much the densities for each precinct should be increased. </w:t>
      </w:r>
    </w:p>
    <w:p w:rsidR="009B22DC" w:rsidRDefault="00995F30" w:rsidP="00995F30">
      <w:pPr>
        <w:pStyle w:val="PPVBody"/>
      </w:pPr>
      <w:r>
        <w:t xml:space="preserve">For </w:t>
      </w:r>
      <w:r w:rsidR="00166E4E">
        <w:t>Sandridge</w:t>
      </w:r>
      <w:r>
        <w:t xml:space="preserve">, the Review Panel considers that a dwelling density of </w:t>
      </w:r>
      <w:r w:rsidR="00166E4E">
        <w:t xml:space="preserve">414 </w:t>
      </w:r>
      <w:r>
        <w:t>dwellings per hectare is appropriate in the core</w:t>
      </w:r>
      <w:r w:rsidR="00166E4E">
        <w:t>,</w:t>
      </w:r>
      <w:r>
        <w:t xml:space="preserve"> and </w:t>
      </w:r>
      <w:r w:rsidR="00166E4E">
        <w:t>225</w:t>
      </w:r>
      <w:r>
        <w:t xml:space="preserve"> dwellings per hectare in the non-core.  </w:t>
      </w:r>
      <w:r w:rsidR="00166E4E">
        <w:t xml:space="preserve">This represents no change </w:t>
      </w:r>
      <w:r w:rsidR="009B22DC">
        <w:t>in the core area, and a modest 10 per cent increase in the non-core area.  The Review Panel regards these as appropriate because:</w:t>
      </w:r>
    </w:p>
    <w:p w:rsidR="007B523F" w:rsidRDefault="007B523F" w:rsidP="0054678B">
      <w:pPr>
        <w:pStyle w:val="PPVBullet1"/>
      </w:pPr>
      <w:r>
        <w:t xml:space="preserve">The </w:t>
      </w:r>
      <w:r w:rsidR="007C22F1">
        <w:t>dwelling</w:t>
      </w:r>
      <w:r>
        <w:t xml:space="preserve"> density for Sandridge core is </w:t>
      </w:r>
      <w:r w:rsidR="009B22DC">
        <w:t xml:space="preserve">already </w:t>
      </w:r>
      <w:r>
        <w:t>high, particularly considering that the area is anticipated to accommodate substantial employment.  The Review Panel does not consider that there is significant scope to increase the residential density in this area.</w:t>
      </w:r>
    </w:p>
    <w:p w:rsidR="007C22F1" w:rsidRDefault="007C22F1" w:rsidP="0054678B">
      <w:pPr>
        <w:pStyle w:val="PPVBullet1"/>
      </w:pPr>
      <w:r>
        <w:t>The Sandridge core has been identified for significant development potential commensurate with its future role as an employment centre.</w:t>
      </w:r>
      <w:r w:rsidR="009B22DC">
        <w:t xml:space="preserve">  This is reflected in the already high densities proposed for Sandridge. </w:t>
      </w:r>
    </w:p>
    <w:p w:rsidR="009B22DC" w:rsidRDefault="009B22DC" w:rsidP="0054678B">
      <w:pPr>
        <w:pStyle w:val="PPVBullet1"/>
      </w:pPr>
      <w:r>
        <w:t xml:space="preserve">There is capacity for a modest 10 per cent increase in residential density in the non-core area in Sandridge.  Modelling undertaken by Ms Hodyl and others for Sandridge demonstrates that there is sufficient room in the built form envelopes to accommodate some additional density, and still leave room for social housing uplift. </w:t>
      </w:r>
    </w:p>
    <w:p w:rsidR="00995F30" w:rsidRDefault="00995F30" w:rsidP="00995F30">
      <w:pPr>
        <w:pStyle w:val="PPVBody"/>
      </w:pPr>
      <w:r w:rsidRPr="00DC3870">
        <w:t xml:space="preserve">The issue of density was raised by a number of experts and in submissions.  Port Phillip noted that so far as the densities that the FARs create, the tabled Infrastructure Australia Report, which mapped population densities at 2046, proposes a range of densities across Fishermans Bend, primarily in the range of 100 to 500 persons per hectare.  Sandridge is in that range.  The Review Panel has recommended 414 for the core, and 225 for the non-core area, noting that these figures maty not be directly equivalent to the Infrastructure Australia figures. </w:t>
      </w:r>
    </w:p>
    <w:p w:rsidR="009B22DC" w:rsidRDefault="009B22DC" w:rsidP="009B22DC">
      <w:pPr>
        <w:pStyle w:val="Heading4"/>
      </w:pPr>
      <w:r>
        <w:t>Findings</w:t>
      </w:r>
    </w:p>
    <w:p w:rsidR="009B22DC" w:rsidRPr="003A5B2B" w:rsidRDefault="009B22DC" w:rsidP="009B22DC">
      <w:pPr>
        <w:pStyle w:val="PPVBody"/>
      </w:pPr>
      <w:r>
        <w:t>The Review Panel finds:</w:t>
      </w:r>
    </w:p>
    <w:p w:rsidR="009B22DC" w:rsidRDefault="009B22DC" w:rsidP="009B22DC">
      <w:pPr>
        <w:pStyle w:val="PPVBullet1"/>
      </w:pPr>
      <w:r>
        <w:t>The appropriate dwelling density for Sandridge is 414 dwellings per hectare in the core area, and 225 dwellings per hectare in the non-core area.</w:t>
      </w:r>
    </w:p>
    <w:p w:rsidR="000F6CEE" w:rsidRDefault="000F6CEE" w:rsidP="00CF04E6">
      <w:pPr>
        <w:pStyle w:val="Heading2"/>
      </w:pPr>
      <w:bookmarkStart w:id="53" w:name="_Toc519848978"/>
      <w:r>
        <w:t>Building heights</w:t>
      </w:r>
      <w:bookmarkEnd w:id="53"/>
    </w:p>
    <w:p w:rsidR="0034056E" w:rsidRPr="00133EBE" w:rsidRDefault="0034056E" w:rsidP="0034056E">
      <w:pPr>
        <w:pStyle w:val="Heading4"/>
      </w:pPr>
      <w:r>
        <w:t>Submissions and evidence</w:t>
      </w:r>
    </w:p>
    <w:p w:rsidR="0034056E" w:rsidRDefault="0034056E" w:rsidP="0034056E">
      <w:pPr>
        <w:pStyle w:val="PPVBody"/>
      </w:pPr>
      <w:r>
        <w:t>Port Phillip proposed a slightly different regime of maximum discretionary building heights.  Some heights are taller, while other areas are lower.</w:t>
      </w:r>
    </w:p>
    <w:p w:rsidR="0034056E" w:rsidRDefault="00E01D09" w:rsidP="0034056E">
      <w:pPr>
        <w:pStyle w:val="PPVBody"/>
      </w:pPr>
      <w:r>
        <w:t xml:space="preserve">Port Phillip </w:t>
      </w:r>
      <w:r w:rsidR="0034056E">
        <w:t xml:space="preserve">explained that the rationale for the changes is set out in </w:t>
      </w:r>
      <w:r>
        <w:t xml:space="preserve">its Urban Design Report for </w:t>
      </w:r>
      <w:r w:rsidR="0034056E">
        <w:t>Sandridge</w:t>
      </w:r>
      <w:r w:rsidR="003879BA">
        <w:rPr>
          <w:rStyle w:val="FootnoteReference"/>
        </w:rPr>
        <w:footnoteReference w:id="7"/>
      </w:r>
      <w:r w:rsidR="0034056E">
        <w:t xml:space="preserve"> but in short, it consolidates the tallest forms in </w:t>
      </w:r>
      <w:r w:rsidR="007C22F1">
        <w:t>a</w:t>
      </w:r>
      <w:r w:rsidR="0034056E">
        <w:t xml:space="preserve"> ‘retail core’ area and provides for a transition to the west towards Wirraway, where </w:t>
      </w:r>
      <w:r>
        <w:t xml:space="preserve">the Vision explicitly called for </w:t>
      </w:r>
      <w:r w:rsidR="0034056E">
        <w:t xml:space="preserve">an urban outcome which is different to the central area.  </w:t>
      </w:r>
      <w:r w:rsidR="00B03766">
        <w:t>T</w:t>
      </w:r>
      <w:r w:rsidR="0034056E">
        <w:t>he changes to the building</w:t>
      </w:r>
      <w:r w:rsidR="00B03766">
        <w:t xml:space="preserve"> heights (not the FAR) were said to respond</w:t>
      </w:r>
      <w:r w:rsidR="0034056E">
        <w:t xml:space="preserve"> directly to that part of the Vision which calls for a scale of buildings outside the commercial centre which are lower and transition to low scale developments adjacent to Port Melbourne and Garden City.</w:t>
      </w:r>
    </w:p>
    <w:p w:rsidR="0034056E" w:rsidRDefault="00282BA0" w:rsidP="0034056E">
      <w:pPr>
        <w:pStyle w:val="PPVBody"/>
      </w:pPr>
      <w:r>
        <w:t xml:space="preserve">Further to the north, </w:t>
      </w:r>
      <w:r w:rsidR="00E01D09">
        <w:t xml:space="preserve">Port Phillip </w:t>
      </w:r>
      <w:r w:rsidR="0034056E">
        <w:t>proposed</w:t>
      </w:r>
      <w:r w:rsidR="00B03766">
        <w:t xml:space="preserve"> </w:t>
      </w:r>
      <w:r>
        <w:t xml:space="preserve">a </w:t>
      </w:r>
      <w:r w:rsidR="00B03766">
        <w:t>reorganisation of heights and cor</w:t>
      </w:r>
      <w:r w:rsidR="00600821">
        <w:t>e</w:t>
      </w:r>
      <w:r w:rsidR="00B03766">
        <w:t xml:space="preserve"> and </w:t>
      </w:r>
      <w:r w:rsidR="005805E6">
        <w:t>non-core</w:t>
      </w:r>
      <w:r w:rsidR="0034056E">
        <w:t xml:space="preserve"> designations</w:t>
      </w:r>
      <w:r w:rsidR="00403B5E">
        <w:t>.</w:t>
      </w:r>
      <w:r w:rsidR="0034056E">
        <w:t xml:space="preserve"> </w:t>
      </w:r>
      <w:r w:rsidR="00403B5E">
        <w:t>The purpose of this is to</w:t>
      </w:r>
      <w:r w:rsidR="0034056E">
        <w:t xml:space="preserve"> ensure that taller buildings are reorientated towards the centre of Sandridge</w:t>
      </w:r>
      <w:r w:rsidR="00403B5E">
        <w:t>,</w:t>
      </w:r>
      <w:r w:rsidR="0034056E">
        <w:t xml:space="preserve"> rather than the West Gate Freeway, and that campus style large format uses </w:t>
      </w:r>
      <w:r w:rsidR="0007485C">
        <w:t>–</w:t>
      </w:r>
      <w:r w:rsidR="00403B5E">
        <w:t xml:space="preserve"> </w:t>
      </w:r>
      <w:r w:rsidR="0034056E">
        <w:t xml:space="preserve">suitable for office, tertiary education and health related uses </w:t>
      </w:r>
      <w:r w:rsidR="0007485C">
        <w:t>–</w:t>
      </w:r>
      <w:r w:rsidR="00403B5E">
        <w:t xml:space="preserve"> </w:t>
      </w:r>
      <w:r w:rsidR="0034056E">
        <w:t>can establish in locations that are still close to public transport without disrupting the intensity of activity and fine</w:t>
      </w:r>
      <w:r w:rsidR="00FF1251">
        <w:t xml:space="preserve"> </w:t>
      </w:r>
      <w:r w:rsidR="0034056E">
        <w:t>grain outcomes sought for the blocks immediately surround</w:t>
      </w:r>
      <w:r w:rsidR="00AA713A">
        <w:t>ing the future Metro Station.</w:t>
      </w:r>
    </w:p>
    <w:p w:rsidR="008C11CA" w:rsidRDefault="008C11CA" w:rsidP="008C11CA">
      <w:pPr>
        <w:pStyle w:val="PPVBody"/>
      </w:pPr>
      <w:r>
        <w:t xml:space="preserve">Port Phillip submitted that the building heights in </w:t>
      </w:r>
      <w:r w:rsidR="00DF38AE">
        <w:t>the draft Amendment</w:t>
      </w:r>
      <w:r>
        <w:t xml:space="preserve"> should </w:t>
      </w:r>
      <w:r w:rsidR="00282BA0">
        <w:t>be changed</w:t>
      </w:r>
      <w:r>
        <w:t xml:space="preserve"> to:</w:t>
      </w:r>
    </w:p>
    <w:p w:rsidR="008C11CA" w:rsidRDefault="00DF38AE" w:rsidP="008C11CA">
      <w:pPr>
        <w:pStyle w:val="PPVBullet1"/>
      </w:pPr>
      <w:r>
        <w:t>r</w:t>
      </w:r>
      <w:r w:rsidR="00AA713A">
        <w:t>educe the</w:t>
      </w:r>
      <w:r w:rsidR="008C11CA">
        <w:t xml:space="preserve"> maximum building heig</w:t>
      </w:r>
      <w:r w:rsidR="00AA713A">
        <w:t xml:space="preserve">hts in Sandridge North </w:t>
      </w:r>
      <w:r w:rsidR="00D3130C">
        <w:t>non-core</w:t>
      </w:r>
      <w:r w:rsidR="008C11CA">
        <w:t xml:space="preserve"> from unlimited height to 12 storeys</w:t>
      </w:r>
    </w:p>
    <w:p w:rsidR="008C11CA" w:rsidRDefault="00AA713A" w:rsidP="008C11CA">
      <w:pPr>
        <w:pStyle w:val="PPVBullet1"/>
      </w:pPr>
      <w:r>
        <w:t>reduce</w:t>
      </w:r>
      <w:r w:rsidR="008C11CA">
        <w:t xml:space="preserve"> maximum building heights on the properties bound by Ingles Street, Fennell S</w:t>
      </w:r>
      <w:r>
        <w:t>treet and the West Gate Freeway</w:t>
      </w:r>
      <w:r w:rsidR="008C11CA">
        <w:t xml:space="preserve"> from unlimited to 40 storeys</w:t>
      </w:r>
    </w:p>
    <w:p w:rsidR="008C11CA" w:rsidRDefault="00AA713A" w:rsidP="008C11CA">
      <w:pPr>
        <w:pStyle w:val="PPVBullet1"/>
      </w:pPr>
      <w:r>
        <w:t>reduce</w:t>
      </w:r>
      <w:r w:rsidR="008C11CA">
        <w:t xml:space="preserve"> maximum building heights on the southwest corner of Fennell and Boundary Street from unlimited to 30 storeys.</w:t>
      </w:r>
    </w:p>
    <w:p w:rsidR="00DF38AE" w:rsidRDefault="008C11CA" w:rsidP="0054678B">
      <w:r>
        <w:t>The Minister did not accept these recommendations.</w:t>
      </w:r>
      <w:r w:rsidR="00AA713A">
        <w:t xml:space="preserve">  </w:t>
      </w:r>
      <w:r>
        <w:t xml:space="preserve">The Minister supported the opportunity for unlimited height in proximity to the Freeway as a non-sensitive interface where a </w:t>
      </w:r>
      <w:r w:rsidR="00282BA0">
        <w:t>podium–tower</w:t>
      </w:r>
      <w:r w:rsidR="00AA713A">
        <w:t xml:space="preserve"> typology should be supported</w:t>
      </w:r>
      <w:r>
        <w:t>.</w:t>
      </w:r>
      <w:r w:rsidR="00E01D09">
        <w:t xml:space="preserve">  He </w:t>
      </w:r>
      <w:r w:rsidR="00AA713A">
        <w:t xml:space="preserve">submitted that </w:t>
      </w:r>
      <w:r w:rsidR="00DF38AE">
        <w:t>t</w:t>
      </w:r>
      <w:r w:rsidRPr="0065365C">
        <w:t xml:space="preserve">he height limits identified for the Sandridge core </w:t>
      </w:r>
      <w:r w:rsidR="00AA713A">
        <w:t>were</w:t>
      </w:r>
      <w:r w:rsidRPr="0065365C">
        <w:t xml:space="preserve"> selected to facilitate a </w:t>
      </w:r>
      <w:r w:rsidR="00AA713A">
        <w:t xml:space="preserve">transition down towards the </w:t>
      </w:r>
      <w:r w:rsidR="005805E6">
        <w:t>non-core</w:t>
      </w:r>
      <w:r w:rsidRPr="0065365C">
        <w:t xml:space="preserve"> areas and towards the Wirraway </w:t>
      </w:r>
      <w:r w:rsidR="00BA473B">
        <w:t>P</w:t>
      </w:r>
      <w:r w:rsidRPr="0065365C">
        <w:t>recinct.</w:t>
      </w:r>
    </w:p>
    <w:p w:rsidR="00133EBE" w:rsidRDefault="00133EBE" w:rsidP="00133EBE">
      <w:pPr>
        <w:pStyle w:val="Heading4"/>
      </w:pPr>
      <w:r>
        <w:t>Discussion</w:t>
      </w:r>
    </w:p>
    <w:p w:rsidR="00133EBE" w:rsidRPr="00133EBE" w:rsidRDefault="00AA713A" w:rsidP="00133EBE">
      <w:pPr>
        <w:pStyle w:val="PPVBody"/>
      </w:pPr>
      <w:r>
        <w:t>The Review Panel generally supports the heights in Sandridge.</w:t>
      </w:r>
      <w:r w:rsidR="00E01D09">
        <w:t xml:space="preserve">  </w:t>
      </w:r>
      <w:r>
        <w:t>T</w:t>
      </w:r>
      <w:r w:rsidR="003B5FA1">
        <w:t>he Precinct</w:t>
      </w:r>
      <w:r>
        <w:t xml:space="preserve"> can absorb significant height in its norther</w:t>
      </w:r>
      <w:r w:rsidR="00403B5E">
        <w:t>n</w:t>
      </w:r>
      <w:r>
        <w:t xml:space="preserve"> portion, but the </w:t>
      </w:r>
      <w:r w:rsidRPr="0065365C">
        <w:t xml:space="preserve">transition </w:t>
      </w:r>
      <w:r>
        <w:t xml:space="preserve">to lower scale existing neighbourhoods is </w:t>
      </w:r>
      <w:r w:rsidRPr="0065365C">
        <w:t>important.</w:t>
      </w:r>
      <w:r>
        <w:t xml:space="preserve">  </w:t>
      </w:r>
      <w:r w:rsidRPr="0065365C">
        <w:t xml:space="preserve">The </w:t>
      </w:r>
      <w:r>
        <w:t xml:space="preserve">Review Panel notes that </w:t>
      </w:r>
      <w:r w:rsidRPr="0065365C">
        <w:t>height limits respond to the overshadowing requirements, making it easier for the community to understand the scale of b</w:t>
      </w:r>
      <w:r w:rsidR="00282BA0">
        <w:t>uildings that will be developed, than if the heights did not reflect the overshadowing controls.</w:t>
      </w:r>
    </w:p>
    <w:p w:rsidR="000F6CEE" w:rsidRDefault="000F6CEE" w:rsidP="00CF04E6">
      <w:pPr>
        <w:pStyle w:val="Heading2"/>
      </w:pPr>
      <w:bookmarkStart w:id="54" w:name="_Toc519848979"/>
      <w:r>
        <w:t>Street wall heights</w:t>
      </w:r>
      <w:bookmarkEnd w:id="54"/>
    </w:p>
    <w:p w:rsidR="00133EBE" w:rsidRPr="00133EBE" w:rsidRDefault="00133EBE" w:rsidP="00133EBE">
      <w:pPr>
        <w:pStyle w:val="Heading4"/>
      </w:pPr>
      <w:r>
        <w:t>Submissions and evidence</w:t>
      </w:r>
    </w:p>
    <w:p w:rsidR="00133EBE" w:rsidRDefault="00133EBE" w:rsidP="00133EBE">
      <w:pPr>
        <w:pStyle w:val="PPVBody"/>
      </w:pPr>
      <w:r>
        <w:t xml:space="preserve">Port Phillip submitted that the </w:t>
      </w:r>
      <w:r w:rsidR="00BA473B">
        <w:t>M</w:t>
      </w:r>
      <w:r>
        <w:t>aximum str</w:t>
      </w:r>
      <w:r w:rsidR="00242996">
        <w:t>eet wall height along Fennell–</w:t>
      </w:r>
      <w:r>
        <w:t>Plummer Street (between Ingles and Graham Streets) and Bertie Street from sho</w:t>
      </w:r>
      <w:r w:rsidR="00B46BDA">
        <w:t>uld be increased from 6 storeys</w:t>
      </w:r>
      <w:r>
        <w:t xml:space="preserve"> to 8 storeys, excepting where lower overall building heights apply and on the northeast corner of Fennell and Bridge Streets where retention of the Globe building, a key character building</w:t>
      </w:r>
      <w:r w:rsidR="00E01D09">
        <w:t>,</w:t>
      </w:r>
      <w:r>
        <w:t xml:space="preserve"> is sought.</w:t>
      </w:r>
    </w:p>
    <w:p w:rsidR="00133EBE" w:rsidRDefault="00133EBE" w:rsidP="00133EBE">
      <w:r>
        <w:t>The Minister accepted this recommendation in part with the exception of the increased street wall heights on Bertie Street.  The changes to street wall heights on Fennell Street</w:t>
      </w:r>
      <w:r w:rsidR="00242996">
        <w:t>–</w:t>
      </w:r>
      <w:r>
        <w:t>Plummer Street (between Graham and Ingles Street) were accepted because a higher street wall reinforces the pre</w:t>
      </w:r>
      <w:r w:rsidR="00FF1251">
        <w:t>-eminence</w:t>
      </w:r>
      <w:r>
        <w:t xml:space="preserve"> of the boulevard.</w:t>
      </w:r>
    </w:p>
    <w:p w:rsidR="00133EBE" w:rsidRDefault="00133EBE" w:rsidP="00133EBE">
      <w:r>
        <w:t>A green linear park is proposed along the western side of Bertie Street.  Lower street wall heights on the eastern side will support sunlight reaching the park.  The Minister submitted that street wall height on both sides of the street should be the same to create a cohesive street design.</w:t>
      </w:r>
    </w:p>
    <w:p w:rsidR="008C11CA" w:rsidRPr="00591664" w:rsidRDefault="008C11CA" w:rsidP="008C11CA">
      <w:pPr>
        <w:pStyle w:val="PPVBody"/>
      </w:pPr>
      <w:r w:rsidRPr="00BE545C">
        <w:t xml:space="preserve">Mr Sheppard recommended </w:t>
      </w:r>
      <w:r>
        <w:t>the r</w:t>
      </w:r>
      <w:r w:rsidRPr="00591664">
        <w:t>eplace</w:t>
      </w:r>
      <w:r>
        <w:t>ment of</w:t>
      </w:r>
      <w:r w:rsidR="00FA7B83">
        <w:t xml:space="preserve"> the mandatory 4 </w:t>
      </w:r>
      <w:r w:rsidRPr="00591664">
        <w:t>storey height limit on Williamstown Road and Normanby Road</w:t>
      </w:r>
      <w:r w:rsidR="00FA7B83">
        <w:t xml:space="preserve"> with a discretionary maximum 4 </w:t>
      </w:r>
      <w:r w:rsidRPr="00591664">
        <w:t>storey street wall height,</w:t>
      </w:r>
      <w:r>
        <w:t xml:space="preserve"> and a discretionary minimum 10 metre</w:t>
      </w:r>
      <w:r w:rsidR="00242996">
        <w:t xml:space="preserve"> setback above.</w:t>
      </w:r>
    </w:p>
    <w:p w:rsidR="008C11CA" w:rsidRDefault="008C11CA" w:rsidP="008C11CA">
      <w:pPr>
        <w:pStyle w:val="PPVBody"/>
      </w:pPr>
      <w:r>
        <w:t>This recommendation wa</w:t>
      </w:r>
      <w:r w:rsidRPr="00591664">
        <w:t>s accepted in part</w:t>
      </w:r>
      <w:r w:rsidR="00242996">
        <w:t xml:space="preserve"> by the Minister</w:t>
      </w:r>
      <w:r w:rsidRPr="00591664">
        <w:t>.</w:t>
      </w:r>
      <w:r>
        <w:t xml:space="preserve">  </w:t>
      </w:r>
      <w:r w:rsidRPr="00591664">
        <w:t>The rationale for the 4-storey height limit on Williamston Road and Normanby Road is to ensure that t</w:t>
      </w:r>
      <w:r w:rsidR="003B5FA1">
        <w:t>he Precinct</w:t>
      </w:r>
      <w:r w:rsidRPr="00591664">
        <w:t xml:space="preserve"> is well integrated with its neighbours.</w:t>
      </w:r>
    </w:p>
    <w:p w:rsidR="00133EBE" w:rsidRDefault="00133EBE" w:rsidP="00133EBE">
      <w:pPr>
        <w:pStyle w:val="Heading4"/>
      </w:pPr>
      <w:r>
        <w:t>Discussion</w:t>
      </w:r>
    </w:p>
    <w:p w:rsidR="002A587F" w:rsidRDefault="002A587F" w:rsidP="002A587F">
      <w:pPr>
        <w:pStyle w:val="PPVBody"/>
      </w:pPr>
      <w:r w:rsidRPr="007D1A18">
        <w:t xml:space="preserve">The introduction of a 4 storey street wall with a </w:t>
      </w:r>
      <w:r w:rsidR="006543E9" w:rsidRPr="007D1A18">
        <w:t>maximum height of 6 storeys with the upper two</w:t>
      </w:r>
      <w:r w:rsidRPr="007D1A18">
        <w:t xml:space="preserve"> floors setback a mandatory minimum of 10 metres behind the street wall on Williamstown Road is supported.</w:t>
      </w:r>
      <w:r w:rsidR="00207FD2" w:rsidRPr="007D1A18">
        <w:t xml:space="preserve">  This will </w:t>
      </w:r>
      <w:r w:rsidR="007D1A18" w:rsidRPr="007D1A18">
        <w:t>create an appropriate interface with the existing</w:t>
      </w:r>
      <w:r w:rsidR="007D1A18">
        <w:t xml:space="preserve"> residential area.</w:t>
      </w:r>
    </w:p>
    <w:p w:rsidR="00B46BDA" w:rsidRDefault="00B46BDA" w:rsidP="002A587F">
      <w:pPr>
        <w:pStyle w:val="PPVBody"/>
      </w:pPr>
      <w:r>
        <w:t>Sandridge will be a dense area and the street wall heights proposed will help create a human scale along the street.  The Review Panel generally supports the heights proposed.</w:t>
      </w:r>
    </w:p>
    <w:p w:rsidR="00B46BDA" w:rsidRDefault="00B46BDA" w:rsidP="002A587F">
      <w:pPr>
        <w:pStyle w:val="PPVBody"/>
      </w:pPr>
      <w:r>
        <w:t xml:space="preserve">The Review Panel does not support the lower height for the </w:t>
      </w:r>
      <w:r w:rsidR="002D6804">
        <w:t>north</w:t>
      </w:r>
      <w:r>
        <w:t>east corner of Fennel and Bridge Street</w:t>
      </w:r>
      <w:r w:rsidR="004B5700">
        <w:t>s</w:t>
      </w:r>
      <w:r>
        <w:t xml:space="preserve">.  It may well be that a </w:t>
      </w:r>
      <w:r w:rsidR="007B6C29">
        <w:t>lower height is appropriate given the heritage building, but a design solution may deliver an acceptable outcome with a taller street wall.</w:t>
      </w:r>
      <w:r w:rsidR="00ED3945">
        <w:t xml:space="preserve">  There are a number of buildings in Melbourne that have </w:t>
      </w:r>
      <w:r w:rsidR="008A4B9D">
        <w:t xml:space="preserve">successfully </w:t>
      </w:r>
      <w:r w:rsidR="00ED3945">
        <w:t>retained lower level heritage fabric with a new development on top.</w:t>
      </w:r>
    </w:p>
    <w:p w:rsidR="0037794F" w:rsidRDefault="00C65A4B" w:rsidP="00CF04E6">
      <w:pPr>
        <w:pStyle w:val="Heading2"/>
      </w:pPr>
      <w:bookmarkStart w:id="55" w:name="_Toc519848980"/>
      <w:r>
        <w:t>Communal open space</w:t>
      </w:r>
      <w:bookmarkEnd w:id="55"/>
    </w:p>
    <w:p w:rsidR="0037794F" w:rsidRDefault="00133EBE" w:rsidP="0037794F">
      <w:pPr>
        <w:pStyle w:val="Heading4"/>
      </w:pPr>
      <w:r>
        <w:t>Submissions and evidence</w:t>
      </w:r>
    </w:p>
    <w:p w:rsidR="00C65A4B" w:rsidRDefault="00C65A4B" w:rsidP="0037794F">
      <w:pPr>
        <w:pStyle w:val="PPVBody"/>
      </w:pPr>
      <w:r>
        <w:t xml:space="preserve">The </w:t>
      </w:r>
      <w:r w:rsidR="003123C3">
        <w:t xml:space="preserve">draft Amendment proposes that communal </w:t>
      </w:r>
      <w:r w:rsidR="00FF0D99">
        <w:t>o</w:t>
      </w:r>
      <w:r w:rsidR="003123C3">
        <w:t>pen space is</w:t>
      </w:r>
      <w:r>
        <w:t xml:space="preserve"> provided at a minimum of 30 per cent of the net developable site area in </w:t>
      </w:r>
      <w:r w:rsidR="005805E6">
        <w:t>non-core</w:t>
      </w:r>
      <w:r>
        <w:t xml:space="preserve"> areas.</w:t>
      </w:r>
    </w:p>
    <w:p w:rsidR="0037794F" w:rsidRDefault="0037794F" w:rsidP="0037794F">
      <w:pPr>
        <w:pStyle w:val="PPVBody"/>
      </w:pPr>
      <w:r w:rsidRPr="00BE545C">
        <w:t xml:space="preserve">Mr Sheppard recommended </w:t>
      </w:r>
      <w:r>
        <w:t>the r</w:t>
      </w:r>
      <w:r w:rsidRPr="00591664">
        <w:t>eplace</w:t>
      </w:r>
      <w:r>
        <w:t>ment</w:t>
      </w:r>
      <w:r w:rsidR="00C65A4B">
        <w:t xml:space="preserve"> of this requirement with</w:t>
      </w:r>
      <w:r>
        <w:t xml:space="preserve"> a requirement for any development incorporating dwellings to provide communal open space at any level up to the hei</w:t>
      </w:r>
      <w:r w:rsidR="00FF0D99">
        <w:t>ght of the street wall.</w:t>
      </w:r>
    </w:p>
    <w:p w:rsidR="00C65A4B" w:rsidRDefault="00C65A4B" w:rsidP="0037794F">
      <w:pPr>
        <w:pStyle w:val="PPVBody"/>
      </w:pPr>
      <w:r>
        <w:t>The Minister submitted:</w:t>
      </w:r>
    </w:p>
    <w:p w:rsidR="0037794F" w:rsidRDefault="00C65A4B" w:rsidP="00C65A4B">
      <w:pPr>
        <w:pStyle w:val="PPVQuote"/>
      </w:pPr>
      <w:r>
        <w:t xml:space="preserve">… </w:t>
      </w:r>
      <w:r w:rsidR="0037794F">
        <w:t>the provision of communal open space at any level up to the height of the street wall may be appropriate in some circumstances.  However, the preferred outcomes remains the location of communal open space at ground level.</w:t>
      </w:r>
      <w:r w:rsidR="00FF0D99">
        <w:rPr>
          <w:rStyle w:val="FootnoteReference"/>
        </w:rPr>
        <w:footnoteReference w:id="8"/>
      </w:r>
    </w:p>
    <w:p w:rsidR="0037794F" w:rsidRDefault="00133EBE" w:rsidP="00133EBE">
      <w:pPr>
        <w:pStyle w:val="Heading4"/>
      </w:pPr>
      <w:r>
        <w:t>Discussion</w:t>
      </w:r>
    </w:p>
    <w:p w:rsidR="00133EBE" w:rsidRDefault="00C65A4B" w:rsidP="0037794F">
      <w:pPr>
        <w:pStyle w:val="PPVBody"/>
      </w:pPr>
      <w:r>
        <w:t>The Review Panel cannot see the need to provide communal open space at g</w:t>
      </w:r>
      <w:r w:rsidR="002A4DBB">
        <w:t>r</w:t>
      </w:r>
      <w:r>
        <w:t>ound level</w:t>
      </w:r>
      <w:r w:rsidR="006A3AA7">
        <w:t>,</w:t>
      </w:r>
      <w:r>
        <w:t xml:space="preserve"> provided </w:t>
      </w:r>
      <w:r w:rsidR="005E3313">
        <w:t xml:space="preserve">the communal area can support significant </w:t>
      </w:r>
      <w:r w:rsidR="005E3313" w:rsidRPr="006A3AA7">
        <w:t>p</w:t>
      </w:r>
      <w:r w:rsidR="006A3AA7">
        <w:t>l</w:t>
      </w:r>
      <w:r w:rsidR="005E3313" w:rsidRPr="006A3AA7">
        <w:t>anting</w:t>
      </w:r>
      <w:r w:rsidR="005E3313">
        <w:t xml:space="preserve"> with deep soil.  The </w:t>
      </w:r>
      <w:r w:rsidR="00E01D09">
        <w:t xml:space="preserve">Clause </w:t>
      </w:r>
      <w:r w:rsidR="005E3313">
        <w:t>22.XX policy on landscaping addresses these issues.</w:t>
      </w:r>
    </w:p>
    <w:p w:rsidR="005E3313" w:rsidRDefault="005E3313" w:rsidP="0037794F">
      <w:pPr>
        <w:pStyle w:val="PPVBody"/>
      </w:pPr>
      <w:r>
        <w:t>For a perimeter block or hybrid typology it may be desirable to have ground level car parking with communal open space above it.  The Review Panel was shown images of these types of development and agreed that this approach could be an efficient use of space that delivered a good outcome.</w:t>
      </w:r>
    </w:p>
    <w:p w:rsidR="000F6CEE" w:rsidRDefault="000F6CEE" w:rsidP="00CF04E6">
      <w:pPr>
        <w:pStyle w:val="Heading2"/>
      </w:pPr>
      <w:bookmarkStart w:id="56" w:name="_Toc519848981"/>
      <w:r>
        <w:t>Active frontages</w:t>
      </w:r>
      <w:bookmarkEnd w:id="56"/>
    </w:p>
    <w:p w:rsidR="00133EBE" w:rsidRDefault="00133EBE" w:rsidP="00133EBE">
      <w:pPr>
        <w:pStyle w:val="Heading4"/>
      </w:pPr>
      <w:r>
        <w:t xml:space="preserve">Core and </w:t>
      </w:r>
      <w:r w:rsidR="005805E6">
        <w:t>non-core</w:t>
      </w:r>
    </w:p>
    <w:p w:rsidR="00133EBE" w:rsidRDefault="00133EBE" w:rsidP="00133EBE">
      <w:pPr>
        <w:pStyle w:val="PPVBody"/>
      </w:pPr>
      <w:r>
        <w:t xml:space="preserve">Port Phillip submitted that that the </w:t>
      </w:r>
      <w:r w:rsidR="00BA473B">
        <w:t>c</w:t>
      </w:r>
      <w:r>
        <w:t xml:space="preserve">ore and </w:t>
      </w:r>
      <w:r w:rsidR="00ED3945">
        <w:t>non-core areas</w:t>
      </w:r>
      <w:r>
        <w:t xml:space="preserve"> and active stree</w:t>
      </w:r>
      <w:r w:rsidR="006A3AA7">
        <w:t xml:space="preserve">t frontages in </w:t>
      </w:r>
      <w:r w:rsidR="00282BA0">
        <w:t>the draft Amendment</w:t>
      </w:r>
      <w:r>
        <w:t xml:space="preserve"> should </w:t>
      </w:r>
      <w:r w:rsidR="00282BA0">
        <w:t>be changed</w:t>
      </w:r>
      <w:r>
        <w:t xml:space="preserve"> to:</w:t>
      </w:r>
    </w:p>
    <w:p w:rsidR="00133EBE" w:rsidRPr="005E3313" w:rsidRDefault="00133EBE" w:rsidP="00133EBE">
      <w:pPr>
        <w:pStyle w:val="PPVBullet1"/>
      </w:pPr>
      <w:r w:rsidRPr="005E3313">
        <w:t xml:space="preserve">reduce the extent of Primary </w:t>
      </w:r>
      <w:r w:rsidR="005F5825" w:rsidRPr="005E3313">
        <w:t>active frontages al</w:t>
      </w:r>
      <w:r w:rsidRPr="005E3313">
        <w:t>ong Fennell Street to between Ingles Street and Bridge Street</w:t>
      </w:r>
    </w:p>
    <w:p w:rsidR="00133EBE" w:rsidRPr="005E3313" w:rsidRDefault="00133EBE" w:rsidP="00133EBE">
      <w:pPr>
        <w:pStyle w:val="PPVBullet1"/>
      </w:pPr>
      <w:r w:rsidRPr="005E3313">
        <w:t xml:space="preserve">extend the Primary </w:t>
      </w:r>
      <w:r w:rsidR="005F5825">
        <w:t>active frontage</w:t>
      </w:r>
      <w:r w:rsidRPr="005E3313">
        <w:t xml:space="preserve"> on Bertie Street between North Port Oval and Woolboard Road extension</w:t>
      </w:r>
    </w:p>
    <w:p w:rsidR="00133EBE" w:rsidRPr="005E3313" w:rsidRDefault="00133EBE" w:rsidP="00133EBE">
      <w:pPr>
        <w:pStyle w:val="PPVBullet1"/>
      </w:pPr>
      <w:r w:rsidRPr="005E3313">
        <w:t xml:space="preserve">nominate </w:t>
      </w:r>
      <w:r w:rsidR="005F5825">
        <w:t>a</w:t>
      </w:r>
      <w:r w:rsidR="005F5825" w:rsidRPr="005E3313">
        <w:t xml:space="preserve"> </w:t>
      </w:r>
      <w:r w:rsidR="00E01D09">
        <w:t>‘</w:t>
      </w:r>
      <w:r w:rsidR="005F5825" w:rsidRPr="005E3313">
        <w:t>core retail area</w:t>
      </w:r>
      <w:r w:rsidR="005F5825">
        <w:t>’</w:t>
      </w:r>
      <w:r w:rsidR="005F5825" w:rsidRPr="005E3313">
        <w:t xml:space="preserve"> </w:t>
      </w:r>
      <w:r w:rsidRPr="005E3313">
        <w:t>in Sandridge as the blocks bounded by Bridge Street, Woolboard Road extension, Ingles Street and Woodruff Street (and extension)</w:t>
      </w:r>
    </w:p>
    <w:p w:rsidR="00133EBE" w:rsidRPr="005E3313" w:rsidRDefault="00133EBE" w:rsidP="00133EBE">
      <w:pPr>
        <w:pStyle w:val="PPVBullet1"/>
      </w:pPr>
      <w:r w:rsidRPr="005E3313">
        <w:t xml:space="preserve">identify one </w:t>
      </w:r>
      <w:r w:rsidR="004A4127">
        <w:t>north–south</w:t>
      </w:r>
      <w:r w:rsidRPr="005E3313">
        <w:t xml:space="preserve"> lane per block as a secondary active frontage</w:t>
      </w:r>
    </w:p>
    <w:p w:rsidR="00133EBE" w:rsidRPr="005E3313" w:rsidRDefault="00133EBE" w:rsidP="00133EBE">
      <w:pPr>
        <w:pStyle w:val="PPVBullet1"/>
      </w:pPr>
      <w:r w:rsidRPr="005E3313">
        <w:t xml:space="preserve">remove </w:t>
      </w:r>
      <w:r w:rsidR="00E01D09">
        <w:t>s</w:t>
      </w:r>
      <w:r w:rsidRPr="005E3313">
        <w:t xml:space="preserve">econdary </w:t>
      </w:r>
      <w:r w:rsidR="00E01D09">
        <w:t>a</w:t>
      </w:r>
      <w:r w:rsidRPr="005E3313">
        <w:t xml:space="preserve">ctive </w:t>
      </w:r>
      <w:r w:rsidR="00E01D09">
        <w:t>f</w:t>
      </w:r>
      <w:r w:rsidRPr="005E3313">
        <w:t xml:space="preserve">rontages from the area bound by Johnson Street, Boundary Street and new </w:t>
      </w:r>
      <w:r w:rsidR="004A4127">
        <w:t>east–west</w:t>
      </w:r>
      <w:r w:rsidRPr="005E3313">
        <w:t xml:space="preserve"> street.</w:t>
      </w:r>
    </w:p>
    <w:p w:rsidR="0034056E" w:rsidRDefault="0034056E" w:rsidP="0034056E">
      <w:pPr>
        <w:pStyle w:val="Heading5"/>
      </w:pPr>
      <w:r>
        <w:t>Identification of core retail area</w:t>
      </w:r>
    </w:p>
    <w:p w:rsidR="0034056E" w:rsidRDefault="0034056E" w:rsidP="0034056E">
      <w:pPr>
        <w:pStyle w:val="PPVBody"/>
      </w:pPr>
      <w:r>
        <w:t xml:space="preserve">Port Phillip’s </w:t>
      </w:r>
      <w:r w:rsidR="00E01D09">
        <w:t xml:space="preserve">Urban Design Report for </w:t>
      </w:r>
      <w:r>
        <w:t xml:space="preserve">Sandridge identified a core area for retail with an accompanying rearrangement of primary active frontages along Fennell Street and Bertie Street.  Council </w:t>
      </w:r>
      <w:r w:rsidR="00EB5407">
        <w:t xml:space="preserve">has </w:t>
      </w:r>
      <w:r>
        <w:t xml:space="preserve">elsewhere commented on the need for a planning tool such as the DPO to ensure that large format uses can be accommodated at ground level within these areas.  </w:t>
      </w:r>
      <w:r w:rsidR="005E3313">
        <w:t>Council</w:t>
      </w:r>
      <w:r>
        <w:t xml:space="preserve"> repeated the need for such a planning tool.</w:t>
      </w:r>
    </w:p>
    <w:p w:rsidR="00133EBE" w:rsidRDefault="00133EBE" w:rsidP="0034056E">
      <w:pPr>
        <w:pStyle w:val="Heading5"/>
      </w:pPr>
      <w:r>
        <w:t>Larger floor plate uses</w:t>
      </w:r>
    </w:p>
    <w:p w:rsidR="00133EBE" w:rsidRDefault="00133EBE" w:rsidP="00133EBE">
      <w:pPr>
        <w:pStyle w:val="PPVBody"/>
      </w:pPr>
      <w:r>
        <w:t>Port Phillip submitted that the DPO should be used to protect long</w:t>
      </w:r>
      <w:r w:rsidR="00FF1251">
        <w:t>-</w:t>
      </w:r>
      <w:r>
        <w:t xml:space="preserve">term large floorplate anchor land use opportunities for the </w:t>
      </w:r>
      <w:r w:rsidR="005F5825">
        <w:t>core retail areas</w:t>
      </w:r>
      <w:r>
        <w:t xml:space="preserve"> in Sandridge</w:t>
      </w:r>
      <w:r w:rsidR="00E01D09">
        <w:t>,</w:t>
      </w:r>
      <w:r>
        <w:t xml:space="preserve"> and ensure the integration of transport interchange</w:t>
      </w:r>
      <w:r w:rsidR="00ED3945">
        <w:t xml:space="preserve">s or </w:t>
      </w:r>
      <w:r>
        <w:t xml:space="preserve">nodes.  </w:t>
      </w:r>
      <w:r w:rsidR="00ED3945">
        <w:t>It was submitted that this</w:t>
      </w:r>
      <w:r>
        <w:t xml:space="preserve"> should b</w:t>
      </w:r>
      <w:r w:rsidR="005F5825">
        <w:t xml:space="preserve">e applied to a new area </w:t>
      </w:r>
      <w:r w:rsidR="00ED3945">
        <w:t>shown as ‘</w:t>
      </w:r>
      <w:r w:rsidR="005F5825">
        <w:t>core retail area</w:t>
      </w:r>
      <w:r w:rsidR="00ED3945">
        <w:t>’</w:t>
      </w:r>
      <w:r w:rsidR="005E3313">
        <w:t xml:space="preserve"> in the controls</w:t>
      </w:r>
      <w:r>
        <w:t>.</w:t>
      </w:r>
    </w:p>
    <w:p w:rsidR="00133EBE" w:rsidRDefault="00133EBE" w:rsidP="00133EBE">
      <w:r>
        <w:t xml:space="preserve">The Minister agreed that core retail areas can be identified in the Precinct Plan process but does not accept that a DPO is required to protect land for retail anchors, noting that revised laneway locations will support large floorplates.  </w:t>
      </w:r>
      <w:r w:rsidR="007E4074">
        <w:t>T</w:t>
      </w:r>
      <w:r>
        <w:t xml:space="preserve">he Minister </w:t>
      </w:r>
      <w:r w:rsidR="007E4074">
        <w:t xml:space="preserve">is not </w:t>
      </w:r>
      <w:r>
        <w:t>pursuing a DPO to support integr</w:t>
      </w:r>
      <w:r w:rsidR="007E4074">
        <w:t xml:space="preserve">ation of transport interchanges or </w:t>
      </w:r>
      <w:r>
        <w:t>nodes at this time.  The potential future use of the DPO can be explored further in the Precinct Plan process.</w:t>
      </w:r>
      <w:r w:rsidR="00E01D09">
        <w:t xml:space="preserve">  Refer to the discussion in Chapter 17.5 of the Overview Report.</w:t>
      </w:r>
    </w:p>
    <w:p w:rsidR="00133EBE" w:rsidRDefault="00133EBE" w:rsidP="0034056E">
      <w:pPr>
        <w:pStyle w:val="Heading5"/>
      </w:pPr>
      <w:r>
        <w:t xml:space="preserve">Primacy of the Sandridge </w:t>
      </w:r>
      <w:r w:rsidR="00BA473B">
        <w:t>retail and commercial core</w:t>
      </w:r>
    </w:p>
    <w:p w:rsidR="00133EBE" w:rsidRDefault="00133EBE" w:rsidP="00133EBE">
      <w:pPr>
        <w:pStyle w:val="PPVBody"/>
      </w:pPr>
      <w:r>
        <w:t xml:space="preserve">Port Phillip submitted that Clause 21.06-8 should include a policy which emphasises the primacy of the Sandridge </w:t>
      </w:r>
      <w:r w:rsidR="00BA473B">
        <w:t xml:space="preserve">retail and commercial core </w:t>
      </w:r>
      <w:r>
        <w:t xml:space="preserve">by ensuring the tallest buildings are located there and ensure a transition in building heights in </w:t>
      </w:r>
      <w:r w:rsidR="00ED3945">
        <w:t>non-core areas</w:t>
      </w:r>
      <w:r w:rsidR="00E01D09">
        <w:t>.</w:t>
      </w:r>
    </w:p>
    <w:p w:rsidR="00133EBE" w:rsidRPr="00133EBE" w:rsidRDefault="00133EBE" w:rsidP="00133EBE">
      <w:pPr>
        <w:pStyle w:val="Heading4"/>
      </w:pPr>
      <w:r>
        <w:t>Discussion</w:t>
      </w:r>
    </w:p>
    <w:p w:rsidR="005E3313" w:rsidRDefault="005E3313" w:rsidP="005E3313">
      <w:r>
        <w:t>The Part C controls do not propose to distinguish between the retail core and the Sandridge core as a whole in terms of height limits.</w:t>
      </w:r>
    </w:p>
    <w:p w:rsidR="005E3313" w:rsidRDefault="005E3313" w:rsidP="005E3313">
      <w:r w:rsidRPr="005E3313">
        <w:t>T</w:t>
      </w:r>
      <w:r w:rsidR="003B5FA1">
        <w:t>he Precinct</w:t>
      </w:r>
      <w:r w:rsidRPr="005E3313">
        <w:t xml:space="preserve"> specific DDO for Sandridge includes wording which emphasises the primacy of the Sandridge </w:t>
      </w:r>
      <w:r w:rsidR="00BA473B">
        <w:t>c</w:t>
      </w:r>
      <w:r w:rsidRPr="005E3313">
        <w:t xml:space="preserve">ore by ensuring the tallest buildings are located there, and seeks a transition in building heights to </w:t>
      </w:r>
      <w:r w:rsidR="005805E6">
        <w:t>non-core</w:t>
      </w:r>
      <w:r w:rsidR="007E4074">
        <w:t xml:space="preserve"> a</w:t>
      </w:r>
      <w:r w:rsidRPr="005E3313">
        <w:t>reas.</w:t>
      </w:r>
    </w:p>
    <w:p w:rsidR="008A083A" w:rsidRDefault="00CF04E6" w:rsidP="00CF04E6">
      <w:pPr>
        <w:pStyle w:val="PPVBody"/>
      </w:pPr>
      <w:r>
        <w:t xml:space="preserve">The Review Panel supports the distinction between primary and secondary active frontages, and considers that limiting primary active frontages to </w:t>
      </w:r>
      <w:r w:rsidR="004D243F">
        <w:t>Fennel Street and Bertie Street</w:t>
      </w:r>
      <w:r>
        <w:t xml:space="preserve"> is</w:t>
      </w:r>
      <w:r w:rsidR="00ED3945">
        <w:t xml:space="preserve"> likely to address Port Phillip</w:t>
      </w:r>
      <w:r>
        <w:t>’s concerns about diluting the retail core.</w:t>
      </w:r>
      <w:r w:rsidR="005E3313">
        <w:t xml:space="preserve">  It notes that the extent of active frontages (particularly primary active frontages) in Sandridge is considerably less in the Part C version of the controls compared to the Part A version.  The Review Panel considers that the extent of primary and secondary active frontages can be further considered in t</w:t>
      </w:r>
      <w:r w:rsidR="003B5FA1">
        <w:t>he Precinct</w:t>
      </w:r>
      <w:r w:rsidR="005E3313">
        <w:t xml:space="preserve"> planning process, and adjusted accordingly if required.</w:t>
      </w:r>
    </w:p>
    <w:p w:rsidR="00DF38AE" w:rsidRDefault="00AA0179" w:rsidP="004D243F">
      <w:pPr>
        <w:pStyle w:val="PPVBody"/>
      </w:pPr>
      <w:r>
        <w:t xml:space="preserve">The Review Panel has already commented on the use of a DPO to assist in master planning of key sites and areas on an opt in basis.  Once the Precinct </w:t>
      </w:r>
      <w:r w:rsidR="00BA473B">
        <w:t>P</w:t>
      </w:r>
      <w:r>
        <w:t xml:space="preserve">lan is prepared for </w:t>
      </w:r>
      <w:r w:rsidR="004D243F">
        <w:t>Sandridge</w:t>
      </w:r>
      <w:r>
        <w:t xml:space="preserve"> and the extent of the core retail activity area is resolved, this might result in </w:t>
      </w:r>
      <w:r w:rsidR="00E01D09">
        <w:t xml:space="preserve">the </w:t>
      </w:r>
      <w:r>
        <w:t xml:space="preserve">opportunity to apply a DPO.  Further, the appropriate designation of a core retail area could then be </w:t>
      </w:r>
      <w:r w:rsidR="00E01D09">
        <w:t xml:space="preserve">applied </w:t>
      </w:r>
      <w:r w:rsidR="004D243F">
        <w:t xml:space="preserve">on the Precinct </w:t>
      </w:r>
      <w:r w:rsidR="00BA473B">
        <w:t>P</w:t>
      </w:r>
      <w:r w:rsidR="004D243F">
        <w:t>lan.</w:t>
      </w:r>
    </w:p>
    <w:p w:rsidR="008A083A" w:rsidRDefault="000F6CEE" w:rsidP="000F6CEE">
      <w:pPr>
        <w:pStyle w:val="Heading2"/>
      </w:pPr>
      <w:bookmarkStart w:id="57" w:name="_Toc518403069"/>
      <w:bookmarkStart w:id="58" w:name="_Toc519848982"/>
      <w:r>
        <w:t>Findings and recommendations</w:t>
      </w:r>
      <w:bookmarkEnd w:id="57"/>
      <w:bookmarkEnd w:id="58"/>
    </w:p>
    <w:p w:rsidR="000F6CEE" w:rsidRDefault="000F6CEE" w:rsidP="000F6CEE">
      <w:pPr>
        <w:pStyle w:val="PPVBody"/>
      </w:pPr>
      <w:r>
        <w:t>The Review Panel finds:</w:t>
      </w:r>
    </w:p>
    <w:p w:rsidR="004D243F" w:rsidRPr="00406F18" w:rsidRDefault="00E01D09" w:rsidP="0054678B">
      <w:pPr>
        <w:pStyle w:val="PPVBullet1"/>
      </w:pPr>
      <w:bookmarkStart w:id="59" w:name="_Toc519779795"/>
      <w:r>
        <w:t>T</w:t>
      </w:r>
      <w:r w:rsidR="004D243F" w:rsidRPr="00406F18">
        <w:t>he built form of Sandridge is consistent with its intended future role and the need to transition to lower scale areas.</w:t>
      </w:r>
      <w:bookmarkEnd w:id="59"/>
    </w:p>
    <w:p w:rsidR="004D243F" w:rsidRPr="00406F18" w:rsidRDefault="009279BE" w:rsidP="0054678B">
      <w:pPr>
        <w:pStyle w:val="PPVBullet1"/>
      </w:pPr>
      <w:bookmarkStart w:id="60" w:name="_Toc519779796"/>
      <w:r w:rsidRPr="00406F18">
        <w:t>Sandridge</w:t>
      </w:r>
      <w:r w:rsidR="004D243F" w:rsidRPr="00406F18">
        <w:t xml:space="preserve"> lends itself to taller buildings in the core to support its employment role and to capitalise on the planned Metro Station.</w:t>
      </w:r>
      <w:bookmarkEnd w:id="60"/>
    </w:p>
    <w:p w:rsidR="004D243F" w:rsidRDefault="004D243F" w:rsidP="0054678B">
      <w:pPr>
        <w:pStyle w:val="PPVBullet1"/>
      </w:pPr>
      <w:bookmarkStart w:id="61" w:name="_Toc519779797"/>
      <w:r w:rsidRPr="00406F18">
        <w:t>The Plummer–Fennel Street boulevard will be a key feature of the future development of t</w:t>
      </w:r>
      <w:r w:rsidR="003B5FA1">
        <w:t>he Precinct</w:t>
      </w:r>
      <w:bookmarkEnd w:id="61"/>
      <w:r w:rsidR="00976C46">
        <w:t>.</w:t>
      </w:r>
    </w:p>
    <w:p w:rsidR="007E4074" w:rsidRDefault="00976C46" w:rsidP="0054678B">
      <w:pPr>
        <w:pStyle w:val="PPVBullet1"/>
      </w:pPr>
      <w:r>
        <w:t>T</w:t>
      </w:r>
      <w:r w:rsidR="007E4074">
        <w:t>he Part C version street wall height are generally satisfactory with one change</w:t>
      </w:r>
      <w:r>
        <w:t>.</w:t>
      </w:r>
    </w:p>
    <w:p w:rsidR="007E4074" w:rsidRDefault="00976C46" w:rsidP="0054678B">
      <w:pPr>
        <w:pStyle w:val="PPVBullet1"/>
      </w:pPr>
      <w:r>
        <w:t>L</w:t>
      </w:r>
      <w:r w:rsidR="001B3375">
        <w:t>ocating communal open space at ground level may lead to suboptimal built form outcomes</w:t>
      </w:r>
      <w:r>
        <w:t>.</w:t>
      </w:r>
    </w:p>
    <w:p w:rsidR="001B3375" w:rsidRPr="00406F18" w:rsidRDefault="00976C46" w:rsidP="0054678B">
      <w:pPr>
        <w:pStyle w:val="PPVBullet1"/>
      </w:pPr>
      <w:r>
        <w:t>T</w:t>
      </w:r>
      <w:r w:rsidR="001B3375">
        <w:t xml:space="preserve">he location of the Part C proposed </w:t>
      </w:r>
      <w:r>
        <w:t>a</w:t>
      </w:r>
      <w:r w:rsidR="001B3375">
        <w:t>ctive frontage controls are appropriate.</w:t>
      </w:r>
    </w:p>
    <w:p w:rsidR="004D243F" w:rsidRDefault="000333F8" w:rsidP="004D243F">
      <w:pPr>
        <w:pStyle w:val="PPVBody"/>
      </w:pPr>
      <w:r>
        <w:t>The</w:t>
      </w:r>
      <w:r w:rsidR="00ED3945">
        <w:t xml:space="preserve"> Review Panel </w:t>
      </w:r>
      <w:r w:rsidR="004D243F">
        <w:t>recommends</w:t>
      </w:r>
      <w:r w:rsidR="00976C46">
        <w:t xml:space="preserve"> that the following changes are made in the Sandridge DDO:</w:t>
      </w:r>
    </w:p>
    <w:p w:rsidR="001B3375" w:rsidRPr="002A587F" w:rsidRDefault="001B3375" w:rsidP="001B3375">
      <w:pPr>
        <w:pStyle w:val="PPVRecommendation"/>
      </w:pPr>
      <w:bookmarkStart w:id="62" w:name="_Hlk519501575"/>
      <w:bookmarkStart w:id="63" w:name="_Toc519188004"/>
      <w:bookmarkStart w:id="64" w:name="_Toc519516783"/>
      <w:bookmarkStart w:id="65" w:name="_Toc519519001"/>
      <w:bookmarkStart w:id="66" w:name="_Toc519519192"/>
      <w:bookmarkStart w:id="67" w:name="_Toc519519355"/>
      <w:bookmarkStart w:id="68" w:name="_Toc519519974"/>
      <w:bookmarkStart w:id="69" w:name="_Toc519617091"/>
      <w:bookmarkStart w:id="70" w:name="_Toc519698896"/>
      <w:r>
        <w:t>Remove the specific requirement for the Maximum street wall height for the northeast corner of Fennel and Bridge Street</w:t>
      </w:r>
      <w:bookmarkEnd w:id="62"/>
      <w:r w:rsidR="004B5700">
        <w:t>s</w:t>
      </w:r>
      <w:r>
        <w:t>.</w:t>
      </w:r>
      <w:bookmarkEnd w:id="63"/>
      <w:bookmarkEnd w:id="64"/>
      <w:bookmarkEnd w:id="65"/>
      <w:bookmarkEnd w:id="66"/>
      <w:bookmarkEnd w:id="67"/>
      <w:bookmarkEnd w:id="68"/>
      <w:bookmarkEnd w:id="69"/>
      <w:bookmarkEnd w:id="70"/>
    </w:p>
    <w:p w:rsidR="007E4074" w:rsidRPr="0037794F" w:rsidRDefault="007E4074" w:rsidP="007E4074">
      <w:pPr>
        <w:pStyle w:val="PPVRecommendation"/>
      </w:pPr>
      <w:r>
        <w:t>Delete the requirement that communal open space should be at ground level</w:t>
      </w:r>
      <w:r w:rsidR="00976C46">
        <w:t>.</w:t>
      </w:r>
    </w:p>
    <w:p w:rsidR="00A462FE" w:rsidRDefault="00F948F4" w:rsidP="00A462FE">
      <w:pPr>
        <w:pStyle w:val="Heading1"/>
      </w:pPr>
      <w:bookmarkStart w:id="71" w:name="_Ref519619395"/>
      <w:bookmarkStart w:id="72" w:name="_Toc519848983"/>
      <w:r>
        <w:t>Location of open space</w:t>
      </w:r>
      <w:bookmarkEnd w:id="71"/>
      <w:bookmarkEnd w:id="72"/>
    </w:p>
    <w:p w:rsidR="002542C9" w:rsidRDefault="002542C9" w:rsidP="002542C9">
      <w:pPr>
        <w:pStyle w:val="Heading2"/>
      </w:pPr>
      <w:bookmarkStart w:id="73" w:name="_Toc519848984"/>
      <w:r>
        <w:t>Context</w:t>
      </w:r>
      <w:bookmarkEnd w:id="73"/>
    </w:p>
    <w:p w:rsidR="00DF38AE" w:rsidRDefault="009C28BB" w:rsidP="009C28BB">
      <w:pPr>
        <w:pStyle w:val="PPVBody"/>
      </w:pPr>
      <w:r>
        <w:t>North Port Oval is an established existing open space in t</w:t>
      </w:r>
      <w:r w:rsidR="003B5FA1">
        <w:t>he Precinct</w:t>
      </w:r>
      <w:r>
        <w:t xml:space="preserve"> which is home to the Port Melbourne Football Club that plays in the Victorian Football League</w:t>
      </w:r>
      <w:r w:rsidR="00AD2995">
        <w:t>.  T</w:t>
      </w:r>
      <w:r>
        <w:t>he draft Fishermans Bend Framework proposes to expand this District open space to provide sport and recreation facilities for the new residential and worker community</w:t>
      </w:r>
      <w:r w:rsidR="00AD2995">
        <w:t>.  T</w:t>
      </w:r>
      <w:r>
        <w:t xml:space="preserve">he future tram and potential </w:t>
      </w:r>
      <w:r w:rsidR="00BA473B">
        <w:t>M</w:t>
      </w:r>
      <w:r>
        <w:t xml:space="preserve">etro </w:t>
      </w:r>
      <w:r w:rsidR="00BA473B">
        <w:t>S</w:t>
      </w:r>
      <w:r>
        <w:t xml:space="preserve">tation central to the </w:t>
      </w:r>
      <w:r w:rsidR="003B5FA1">
        <w:t>Sandridge Precinct</w:t>
      </w:r>
      <w:r>
        <w:t xml:space="preserve"> will be a key driver in attracting both residents and workers to t</w:t>
      </w:r>
      <w:r w:rsidR="003B5FA1">
        <w:t>he Precinct</w:t>
      </w:r>
      <w:r>
        <w:t>.</w:t>
      </w:r>
    </w:p>
    <w:p w:rsidR="00683D3C" w:rsidRPr="00683D3C" w:rsidRDefault="00172576" w:rsidP="00172576">
      <w:pPr>
        <w:pStyle w:val="Caption"/>
      </w:pPr>
      <w:bookmarkStart w:id="74" w:name="_Ref519615108"/>
      <w:bookmarkStart w:id="75" w:name="_Ref519615101"/>
      <w:bookmarkStart w:id="76" w:name="_Toc519849020"/>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7</w:t>
      </w:r>
      <w:r w:rsidR="009271C1">
        <w:rPr>
          <w:noProof/>
        </w:rPr>
        <w:fldChar w:fldCharType="end"/>
      </w:r>
      <w:bookmarkEnd w:id="74"/>
      <w:r>
        <w:t>:</w:t>
      </w:r>
      <w:r>
        <w:tab/>
        <w:t>Proposed open space</w:t>
      </w:r>
      <w:bookmarkEnd w:id="75"/>
      <w:bookmarkEnd w:id="76"/>
    </w:p>
    <w:p w:rsidR="002542C9" w:rsidRDefault="00FB36AC" w:rsidP="00B96DC9">
      <w:pPr>
        <w:pStyle w:val="PPVBody"/>
        <w:keepNext/>
      </w:pPr>
      <w:r>
        <w:rPr>
          <w:noProof/>
        </w:rPr>
        <mc:AlternateContent>
          <mc:Choice Requires="wps">
            <w:drawing>
              <wp:anchor distT="0" distB="0" distL="114300" distR="114300" simplePos="0" relativeHeight="251663360" behindDoc="0" locked="0" layoutInCell="1" allowOverlap="1" wp14:anchorId="79A429CE" wp14:editId="29E4C7A3">
                <wp:simplePos x="0" y="0"/>
                <wp:positionH relativeFrom="column">
                  <wp:posOffset>1156970</wp:posOffset>
                </wp:positionH>
                <wp:positionV relativeFrom="paragraph">
                  <wp:posOffset>418626</wp:posOffset>
                </wp:positionV>
                <wp:extent cx="477520" cy="11868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7520" cy="1186815"/>
                        </a:xfrm>
                        <a:prstGeom prst="rect">
                          <a:avLst/>
                        </a:prstGeom>
                        <a:noFill/>
                        <a:ln w="6350">
                          <a:noFill/>
                        </a:ln>
                      </wps:spPr>
                      <wps:txbx>
                        <w:txbxContent>
                          <w:p w:rsidR="004B5700" w:rsidRDefault="004B5700" w:rsidP="00C01F2A">
                            <w: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A429CE" id="_x0000_t202" coordsize="21600,21600" o:spt="202" path="m,l,21600r21600,l21600,xe">
                <v:stroke joinstyle="miter"/>
                <v:path gradientshapeok="t" o:connecttype="rect"/>
              </v:shapetype>
              <v:shape id="Text Box 15" o:spid="_x0000_s1026" type="#_x0000_t202" style="position:absolute;left:0;text-align:left;margin-left:91.1pt;margin-top:32.95pt;width:37.6pt;height:9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" filled="f" stroked="f" strokeweight=".5pt">
                <v:textbox>
                  <w:txbxContent>
                    <w:p w:rsidR="004B5700" w:rsidRDefault="004B5700" w:rsidP="00C01F2A">
                      <w:r>
                        <w:t>❸</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77ACB1B" wp14:editId="4CCEB44F">
                <wp:simplePos x="0" y="0"/>
                <wp:positionH relativeFrom="column">
                  <wp:posOffset>571339</wp:posOffset>
                </wp:positionH>
                <wp:positionV relativeFrom="paragraph">
                  <wp:posOffset>897890</wp:posOffset>
                </wp:positionV>
                <wp:extent cx="477520" cy="1186815"/>
                <wp:effectExtent l="0" t="0" r="0" b="0"/>
                <wp:wrapNone/>
                <wp:docPr id="8" name="Text Box 8"/>
                <wp:cNvGraphicFramePr/>
                <a:graphic xmlns:a="http://schemas.openxmlformats.org/drawingml/2006/main">
                  <a:graphicData uri="http://schemas.microsoft.com/office/word/2010/wordprocessingShape">
                    <wps:wsp>
                      <wps:cNvSpPr txBox="1"/>
                      <wps:spPr>
                        <a:xfrm>
                          <a:off x="0" y="0"/>
                          <a:ext cx="477520" cy="1186815"/>
                        </a:xfrm>
                        <a:prstGeom prst="rect">
                          <a:avLst/>
                        </a:prstGeom>
                        <a:noFill/>
                        <a:ln w="6350">
                          <a:noFill/>
                        </a:ln>
                      </wps:spPr>
                      <wps:txbx>
                        <w:txbxContent>
                          <w:p w:rsidR="004B5700" w:rsidRDefault="004B5700" w:rsidP="00C01F2A">
                            <w: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ACB1B" id="Text Box 8" o:spid="_x0000_s1027" type="#_x0000_t202" style="position:absolute;left:0;text-align:left;margin-left:45pt;margin-top:70.7pt;width:37.6pt;height:93.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" filled="f" stroked="f" strokeweight=".5pt">
                <v:textbox>
                  <w:txbxContent>
                    <w:p w:rsidR="004B5700" w:rsidRDefault="004B5700" w:rsidP="00C01F2A">
                      <w:r>
                        <w:t>❷</w:t>
                      </w:r>
                    </w:p>
                  </w:txbxContent>
                </v:textbox>
              </v:shape>
            </w:pict>
          </mc:Fallback>
        </mc:AlternateContent>
      </w:r>
      <w:r w:rsidR="00C01F2A">
        <w:rPr>
          <w:noProof/>
        </w:rPr>
        <mc:AlternateContent>
          <mc:Choice Requires="wps">
            <w:drawing>
              <wp:anchor distT="0" distB="0" distL="114300" distR="114300" simplePos="0" relativeHeight="251659264" behindDoc="0" locked="0" layoutInCell="1" allowOverlap="1" wp14:anchorId="7A782B57" wp14:editId="6F239CAB">
                <wp:simplePos x="0" y="0"/>
                <wp:positionH relativeFrom="column">
                  <wp:posOffset>3247390</wp:posOffset>
                </wp:positionH>
                <wp:positionV relativeFrom="paragraph">
                  <wp:posOffset>483235</wp:posOffset>
                </wp:positionV>
                <wp:extent cx="477520" cy="11868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7520" cy="1186815"/>
                        </a:xfrm>
                        <a:prstGeom prst="rect">
                          <a:avLst/>
                        </a:prstGeom>
                        <a:noFill/>
                        <a:ln w="6350">
                          <a:noFill/>
                        </a:ln>
                      </wps:spPr>
                      <wps:txbx>
                        <w:txbxContent>
                          <w:p w:rsidR="004B5700" w:rsidRDefault="004B5700" w:rsidP="00C01F2A">
                            <w: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82B57" id="Text Box 12" o:spid="_x0000_s1028" type="#_x0000_t202" style="position:absolute;left:0;text-align:left;margin-left:255.7pt;margin-top:38.05pt;width:37.6pt;height:9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" filled="f" stroked="f" strokeweight=".5pt">
                <v:textbox>
                  <w:txbxContent>
                    <w:p w:rsidR="004B5700" w:rsidRDefault="004B5700" w:rsidP="00C01F2A">
                      <w:r>
                        <w:t>❹</w:t>
                      </w:r>
                    </w:p>
                  </w:txbxContent>
                </v:textbox>
              </v:shape>
            </w:pict>
          </mc:Fallback>
        </mc:AlternateContent>
      </w:r>
      <w:r w:rsidR="00C01F2A">
        <w:rPr>
          <w:noProof/>
        </w:rPr>
        <mc:AlternateContent>
          <mc:Choice Requires="wps">
            <w:drawing>
              <wp:anchor distT="0" distB="0" distL="114300" distR="114300" simplePos="0" relativeHeight="251651072" behindDoc="0" locked="0" layoutInCell="1" allowOverlap="1">
                <wp:simplePos x="0" y="0"/>
                <wp:positionH relativeFrom="column">
                  <wp:posOffset>1064099</wp:posOffset>
                </wp:positionH>
                <wp:positionV relativeFrom="paragraph">
                  <wp:posOffset>1620520</wp:posOffset>
                </wp:positionV>
                <wp:extent cx="477520" cy="1186815"/>
                <wp:effectExtent l="0" t="0" r="0" b="0"/>
                <wp:wrapNone/>
                <wp:docPr id="7" name="Text Box 7"/>
                <wp:cNvGraphicFramePr/>
                <a:graphic xmlns:a="http://schemas.openxmlformats.org/drawingml/2006/main">
                  <a:graphicData uri="http://schemas.microsoft.com/office/word/2010/wordprocessingShape">
                    <wps:wsp>
                      <wps:cNvSpPr txBox="1"/>
                      <wps:spPr>
                        <a:xfrm>
                          <a:off x="0" y="0"/>
                          <a:ext cx="477520" cy="1186815"/>
                        </a:xfrm>
                        <a:prstGeom prst="rect">
                          <a:avLst/>
                        </a:prstGeom>
                        <a:noFill/>
                        <a:ln w="6350">
                          <a:noFill/>
                        </a:ln>
                      </wps:spPr>
                      <wps:txbx>
                        <w:txbxContent>
                          <w:p w:rsidR="004B5700" w:rsidRDefault="004B5700" w:rsidP="00C01F2A">
                            <w: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left:0;text-align:left;margin-left:83.8pt;margin-top:127.6pt;width:37.6pt;height:93.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" filled="f" stroked="f" strokeweight=".5pt">
                <v:textbox>
                  <w:txbxContent>
                    <w:p w:rsidR="004B5700" w:rsidRDefault="004B5700" w:rsidP="00C01F2A">
                      <w:r>
                        <w:t>❶</w:t>
                      </w:r>
                    </w:p>
                  </w:txbxContent>
                </v:textbox>
              </v:shape>
            </w:pict>
          </mc:Fallback>
        </mc:AlternateContent>
      </w:r>
      <w:r w:rsidR="00C01F2A">
        <w:rPr>
          <w:noProof/>
        </w:rPr>
        <mc:AlternateContent>
          <mc:Choice Requires="wps">
            <w:drawing>
              <wp:anchor distT="0" distB="0" distL="114300" distR="114300" simplePos="0" relativeHeight="251667456" behindDoc="0" locked="0" layoutInCell="1" allowOverlap="1" wp14:anchorId="07229BDA" wp14:editId="55C1BAA2">
                <wp:simplePos x="0" y="0"/>
                <wp:positionH relativeFrom="column">
                  <wp:posOffset>1944370</wp:posOffset>
                </wp:positionH>
                <wp:positionV relativeFrom="paragraph">
                  <wp:posOffset>838200</wp:posOffset>
                </wp:positionV>
                <wp:extent cx="477520" cy="132969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477520" cy="1329690"/>
                        </a:xfrm>
                        <a:prstGeom prst="rect">
                          <a:avLst/>
                        </a:prstGeom>
                        <a:noFill/>
                        <a:ln w="6350">
                          <a:noFill/>
                        </a:ln>
                      </wps:spPr>
                      <wps:txbx>
                        <w:txbxContent>
                          <w:p w:rsidR="004B5700" w:rsidRDefault="004B5700" w:rsidP="00C01F2A">
                            <w: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29BDA" id="Text Box 16" o:spid="_x0000_s1030" type="#_x0000_t202" style="position:absolute;left:0;text-align:left;margin-left:153.1pt;margin-top:66pt;width:37.6pt;height:104.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" filled="f" stroked="f" strokeweight=".5pt">
                <v:textbox>
                  <w:txbxContent>
                    <w:p w:rsidR="004B5700" w:rsidRDefault="004B5700" w:rsidP="00C01F2A">
                      <w:r>
                        <w:t>❺</w:t>
                      </w:r>
                    </w:p>
                  </w:txbxContent>
                </v:textbox>
              </v:shape>
            </w:pict>
          </mc:Fallback>
        </mc:AlternateContent>
      </w:r>
      <w:r w:rsidR="00B96DC9">
        <w:rPr>
          <w:noProof/>
        </w:rPr>
        <w:drawing>
          <wp:inline distT="0" distB="0" distL="0" distR="0" wp14:anchorId="06A23CBA" wp14:editId="190072AE">
            <wp:extent cx="5812790" cy="3104866"/>
            <wp:effectExtent l="0" t="0" r="0" b="635"/>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5290" b="8734"/>
                    <a:stretch/>
                  </pic:blipFill>
                  <pic:spPr bwMode="auto">
                    <a:xfrm>
                      <a:off x="0" y="0"/>
                      <a:ext cx="5813947" cy="3105484"/>
                    </a:xfrm>
                    <a:prstGeom prst="rect">
                      <a:avLst/>
                    </a:prstGeom>
                    <a:noFill/>
                    <a:ln>
                      <a:noFill/>
                    </a:ln>
                    <a:extLst>
                      <a:ext uri="{53640926-AAD7-44D8-BBD7-CCE9431645EC}">
                        <a14:shadowObscured xmlns:a14="http://schemas.microsoft.com/office/drawing/2010/main"/>
                      </a:ext>
                    </a:extLst>
                  </pic:spPr>
                </pic:pic>
              </a:graphicData>
            </a:graphic>
          </wp:inline>
        </w:drawing>
      </w:r>
    </w:p>
    <w:p w:rsidR="009C28BB" w:rsidRPr="009279BE" w:rsidRDefault="009279BE" w:rsidP="009279BE">
      <w:pPr>
        <w:pStyle w:val="PPVSource"/>
      </w:pPr>
      <w:r w:rsidRPr="009279BE">
        <w:t xml:space="preserve">Source: Minister </w:t>
      </w:r>
      <w:r w:rsidR="00B96DC9" w:rsidRPr="009279BE">
        <w:t>Part C controls</w:t>
      </w:r>
      <w:r w:rsidRPr="009279BE">
        <w:t xml:space="preserve"> (D307)</w:t>
      </w:r>
    </w:p>
    <w:p w:rsidR="00624F56" w:rsidRDefault="00624F56" w:rsidP="00624F56">
      <w:r>
        <w:t>Five changes were recommended by Ms Thompson in Sandridge, one of which was accepted by the Minister, being a reconfiguration of the public open space on Woolboard Street into a larger public open space.</w:t>
      </w:r>
    </w:p>
    <w:p w:rsidR="009C28BB" w:rsidRDefault="009C28BB" w:rsidP="009C28BB">
      <w:pPr>
        <w:pStyle w:val="PPVBody"/>
      </w:pPr>
      <w:r>
        <w:t xml:space="preserve">There are </w:t>
      </w:r>
      <w:r w:rsidR="00976C46">
        <w:t xml:space="preserve">five </w:t>
      </w:r>
      <w:r w:rsidR="00172576">
        <w:t>main</w:t>
      </w:r>
      <w:r>
        <w:t xml:space="preserve"> issues in relation to open space</w:t>
      </w:r>
      <w:r w:rsidR="00C01F2A">
        <w:t xml:space="preserve"> (marked on </w:t>
      </w:r>
      <w:r w:rsidR="00C01F2A">
        <w:fldChar w:fldCharType="begin"/>
      </w:r>
      <w:r w:rsidR="00C01F2A">
        <w:instrText xml:space="preserve"> REF _Ref519615108 \h </w:instrText>
      </w:r>
      <w:r w:rsidR="00C01F2A">
        <w:fldChar w:fldCharType="separate"/>
      </w:r>
      <w:r w:rsidR="00AA0E65">
        <w:t xml:space="preserve">Figure </w:t>
      </w:r>
      <w:r w:rsidR="00AA0E65">
        <w:rPr>
          <w:noProof/>
        </w:rPr>
        <w:t>7</w:t>
      </w:r>
      <w:r w:rsidR="00C01F2A">
        <w:fldChar w:fldCharType="end"/>
      </w:r>
      <w:r w:rsidR="00C01F2A">
        <w:t>)</w:t>
      </w:r>
      <w:r>
        <w:t>:</w:t>
      </w:r>
    </w:p>
    <w:p w:rsidR="00624F56" w:rsidRDefault="00C01F2A" w:rsidP="00C01F2A">
      <w:pPr>
        <w:pStyle w:val="PPVBullet1"/>
        <w:numPr>
          <w:ilvl w:val="0"/>
          <w:numId w:val="0"/>
        </w:numPr>
        <w:ind w:left="567"/>
      </w:pPr>
      <w:r>
        <w:t>❶</w:t>
      </w:r>
      <w:r>
        <w:tab/>
      </w:r>
      <w:r w:rsidR="005765B7" w:rsidRPr="00C01F2A">
        <w:t>Plummer Street and Bridge Street ‘civic square’</w:t>
      </w:r>
    </w:p>
    <w:p w:rsidR="00C01F2A" w:rsidRDefault="00C01F2A" w:rsidP="00C01F2A">
      <w:pPr>
        <w:pStyle w:val="PPVBullet1"/>
        <w:numPr>
          <w:ilvl w:val="0"/>
          <w:numId w:val="0"/>
        </w:numPr>
        <w:ind w:left="567"/>
      </w:pPr>
      <w:r>
        <w:t>❷</w:t>
      </w:r>
      <w:r>
        <w:tab/>
        <w:t>Woolboard and Bertie Street</w:t>
      </w:r>
      <w:r w:rsidR="004B5700">
        <w:t>s</w:t>
      </w:r>
      <w:r>
        <w:t xml:space="preserve"> open space</w:t>
      </w:r>
    </w:p>
    <w:p w:rsidR="00C01F2A" w:rsidRDefault="00C01F2A" w:rsidP="00C01F2A">
      <w:pPr>
        <w:pStyle w:val="PPVBullet1"/>
        <w:numPr>
          <w:ilvl w:val="0"/>
          <w:numId w:val="0"/>
        </w:numPr>
        <w:ind w:left="567"/>
      </w:pPr>
      <w:r>
        <w:t>❸</w:t>
      </w:r>
      <w:r>
        <w:tab/>
        <w:t>Woolboard extension open space</w:t>
      </w:r>
    </w:p>
    <w:p w:rsidR="00C01F2A" w:rsidRDefault="00C01F2A" w:rsidP="00C01F2A">
      <w:pPr>
        <w:pStyle w:val="PPVBullet1"/>
        <w:numPr>
          <w:ilvl w:val="0"/>
          <w:numId w:val="0"/>
        </w:numPr>
        <w:ind w:left="567"/>
      </w:pPr>
      <w:r>
        <w:t>❹</w:t>
      </w:r>
      <w:r>
        <w:tab/>
        <w:t>Boundary Street park</w:t>
      </w:r>
    </w:p>
    <w:p w:rsidR="00C01F2A" w:rsidRPr="00C01F2A" w:rsidRDefault="00C01F2A" w:rsidP="00C01F2A">
      <w:pPr>
        <w:pStyle w:val="PPVBullet1"/>
        <w:numPr>
          <w:ilvl w:val="0"/>
          <w:numId w:val="0"/>
        </w:numPr>
        <w:ind w:left="567"/>
      </w:pPr>
      <w:r>
        <w:t>❺</w:t>
      </w:r>
      <w:r>
        <w:tab/>
      </w:r>
      <w:r w:rsidR="00976C46">
        <w:t>o</w:t>
      </w:r>
      <w:r>
        <w:t>pen space on the corner of Bertie and Fennel Streets</w:t>
      </w:r>
      <w:r w:rsidR="00976C46">
        <w:t>.</w:t>
      </w:r>
    </w:p>
    <w:p w:rsidR="00624F56" w:rsidRDefault="00624F56" w:rsidP="00C23431">
      <w:pPr>
        <w:pStyle w:val="Heading2"/>
      </w:pPr>
      <w:bookmarkStart w:id="77" w:name="_Toc519848985"/>
      <w:r>
        <w:t xml:space="preserve">Plummer Street and Bridge Street </w:t>
      </w:r>
      <w:r w:rsidR="005765B7">
        <w:t>‘civic s</w:t>
      </w:r>
      <w:r>
        <w:t>quare</w:t>
      </w:r>
      <w:r w:rsidR="005765B7">
        <w:t>’</w:t>
      </w:r>
      <w:bookmarkEnd w:id="77"/>
    </w:p>
    <w:p w:rsidR="00C23431" w:rsidRPr="00C23431" w:rsidRDefault="004B5700" w:rsidP="00A87965">
      <w:pPr>
        <w:pStyle w:val="Heading4"/>
      </w:pPr>
      <w:r>
        <w:t>Submissions and evidence</w:t>
      </w:r>
    </w:p>
    <w:p w:rsidR="00624F56" w:rsidRDefault="00624F56" w:rsidP="00624F56">
      <w:pPr>
        <w:pStyle w:val="PPVBody"/>
      </w:pPr>
      <w:r>
        <w:t xml:space="preserve">Port Phillip submitted that the </w:t>
      </w:r>
      <w:r w:rsidR="00FB36AC">
        <w:t xml:space="preserve">draft Amendment </w:t>
      </w:r>
      <w:r w:rsidR="0060059D">
        <w:t xml:space="preserve">should </w:t>
      </w:r>
      <w:r w:rsidR="00282BA0">
        <w:t>be changed</w:t>
      </w:r>
      <w:r w:rsidR="0060059D">
        <w:t xml:space="preserve"> to re</w:t>
      </w:r>
      <w:r>
        <w:t>locate the area of public open space from 299 Bridge Street</w:t>
      </w:r>
      <w:r w:rsidR="00A87965">
        <w:t xml:space="preserve"> (south of the intersection with Plummer Street)</w:t>
      </w:r>
      <w:r>
        <w:t xml:space="preserve"> to 577 Plummer Street</w:t>
      </w:r>
      <w:r w:rsidR="00A87965">
        <w:t xml:space="preserve"> (north of the intersection)</w:t>
      </w:r>
      <w:r>
        <w:t xml:space="preserve"> to deliver the larger public open space (approximately 3,000 </w:t>
      </w:r>
      <w:r w:rsidR="00A53F18">
        <w:t>square metres</w:t>
      </w:r>
      <w:r>
        <w:t>) on the north side of the street and a smaller space on the south side (within the existi</w:t>
      </w:r>
      <w:r w:rsidR="004D650A">
        <w:t>ng road reserve).</w:t>
      </w:r>
    </w:p>
    <w:p w:rsidR="004D650A" w:rsidRDefault="004D650A" w:rsidP="00624F56">
      <w:pPr>
        <w:pStyle w:val="PPVBody"/>
      </w:pPr>
      <w:r>
        <w:t>The land is owned by Delta who</w:t>
      </w:r>
      <w:r w:rsidRPr="004D650A">
        <w:t xml:space="preserve"> </w:t>
      </w:r>
      <w:r>
        <w:t>use it for a demolition transfer station and mechanical repair shop for 150 tonne vehicles.  Delta opposed Port Phill</w:t>
      </w:r>
      <w:r w:rsidR="009279BE">
        <w:t>i</w:t>
      </w:r>
      <w:r>
        <w:t>p’s submissions.</w:t>
      </w:r>
    </w:p>
    <w:p w:rsidR="0014301B" w:rsidRDefault="0014301B" w:rsidP="0014301B">
      <w:pPr>
        <w:pStyle w:val="PPVBody"/>
      </w:pPr>
      <w:r>
        <w:t>Delta opposed the acquisition of their land, pointing out the vital services they delivered to the construction industry.  The role of these types of uses is discussed in the Overview Report and the draft Amendment now proposes to give such uses better recognition.</w:t>
      </w:r>
    </w:p>
    <w:p w:rsidR="004D650A" w:rsidRDefault="004D650A" w:rsidP="004D650A">
      <w:pPr>
        <w:pStyle w:val="PPVBody"/>
      </w:pPr>
      <w:r>
        <w:t>Port Phillip submitted that the Review Panel should not have any sympathy for the submissions of Delta.  While it acknowledged their concerns, it said that it must be accepted that this State-declared Strategic Redevelopment Area will be transformed both in te</w:t>
      </w:r>
      <w:r w:rsidR="00F52A30">
        <w:t>rms of land use and built form</w:t>
      </w:r>
      <w:r>
        <w:t>.  It was submitted that the Council’s proposal for the Delta site also results in a better outcome for this landowner.  That is, the acquisition of the whole of the Plummer Street site and the retention of development opportunities for the southern Bridge Street site.</w:t>
      </w:r>
    </w:p>
    <w:p w:rsidR="00624F56" w:rsidRDefault="00624F56" w:rsidP="00624F56">
      <w:pPr>
        <w:pStyle w:val="PPVBody"/>
      </w:pPr>
      <w:r>
        <w:t xml:space="preserve">Port Phillip </w:t>
      </w:r>
      <w:r w:rsidR="00F52A30">
        <w:t xml:space="preserve">also </w:t>
      </w:r>
      <w:r>
        <w:t xml:space="preserve">submitted that the overshadowing requirements in </w:t>
      </w:r>
      <w:r w:rsidR="00F52A30">
        <w:t>the DDO</w:t>
      </w:r>
      <w:r>
        <w:t xml:space="preserve"> should be </w:t>
      </w:r>
      <w:r w:rsidR="00E22A97">
        <w:t>changed</w:t>
      </w:r>
      <w:r>
        <w:t xml:space="preserve"> to move the equinox overshadowing control from the proposed public open space on the southern corner of Plummer/Bridge Streets to the proposed larger open space (Civic Space) on the northern corner of Plummer/Bridg</w:t>
      </w:r>
      <w:r w:rsidR="00E22A97">
        <w:t>e Streets</w:t>
      </w:r>
      <w:r>
        <w:t>.</w:t>
      </w:r>
    </w:p>
    <w:p w:rsidR="00DF38AE" w:rsidRDefault="00624F56" w:rsidP="00624F56">
      <w:pPr>
        <w:pStyle w:val="PPVBody"/>
      </w:pPr>
      <w:r>
        <w:t>Port Phillip submitted that</w:t>
      </w:r>
      <w:r w:rsidR="00A012F8">
        <w:t>:</w:t>
      </w:r>
    </w:p>
    <w:p w:rsidR="00624F56" w:rsidRDefault="00624F56" w:rsidP="00624F56">
      <w:pPr>
        <w:pStyle w:val="PPVQuote"/>
      </w:pPr>
      <w:r>
        <w:t>Mr Sheppard supports the consolidation of smaller, elongated parks into larger parks in Sandridge.  Council has undertaken that consolidation at the intersection of Plummer Street and Bridge Street to create a new Civic Square and in respect of the creation of the Sandridge North Park.  Ms Thompson supported the intent behind these recommendations also, albeit in slightly different locations.  However, Ms Thompson also agreed under cross examination that her placement of parks only considered public open space planning considerations and not other considerations.</w:t>
      </w:r>
      <w:r w:rsidR="009279BE">
        <w:rPr>
          <w:rStyle w:val="FootnoteReference"/>
        </w:rPr>
        <w:footnoteReference w:id="9"/>
      </w:r>
    </w:p>
    <w:p w:rsidR="00DF38AE" w:rsidRDefault="00624F56" w:rsidP="00624F56">
      <w:pPr>
        <w:pStyle w:val="PPVBody"/>
      </w:pPr>
      <w:r>
        <w:t>Port Phillip submitted that its proposals for these two parks considered the imperative for open space but in an integrated manner</w:t>
      </w:r>
      <w:r w:rsidR="00976C46">
        <w:t>,</w:t>
      </w:r>
      <w:r>
        <w:t xml:space="preserve"> having regard to </w:t>
      </w:r>
      <w:r w:rsidR="00976C46">
        <w:t>a</w:t>
      </w:r>
      <w:r>
        <w:t xml:space="preserve"> broader suite of place making and urban design considerations.  Council’s other considerations in making its open space recommendations included, but were not limited to:</w:t>
      </w:r>
    </w:p>
    <w:p w:rsidR="00624F56" w:rsidRDefault="00624F56" w:rsidP="00624F56">
      <w:pPr>
        <w:pStyle w:val="PPVBullet1"/>
      </w:pPr>
      <w:r>
        <w:t>creating terminating vistas and anchoring key streets with civic markers</w:t>
      </w:r>
    </w:p>
    <w:p w:rsidR="00624F56" w:rsidRDefault="00A012F8" w:rsidP="00624F56">
      <w:pPr>
        <w:pStyle w:val="PPVBullet1"/>
      </w:pPr>
      <w:r>
        <w:t>co</w:t>
      </w:r>
      <w:r w:rsidR="00FF1251">
        <w:t>-locating</w:t>
      </w:r>
      <w:r w:rsidR="00624F56">
        <w:t xml:space="preserve"> open space with community infrastructure and preserving key city blocks for development to facilitate an intensity of activity in the key locations around the future Metro Station.</w:t>
      </w:r>
    </w:p>
    <w:p w:rsidR="00624F56" w:rsidRDefault="00624F56" w:rsidP="00624F56">
      <w:r>
        <w:t>While the Minister acknowledged the attraction of this option, he did not accept it.  He noted the significant area of land required:</w:t>
      </w:r>
    </w:p>
    <w:p w:rsidR="00624F56" w:rsidRDefault="00624F56" w:rsidP="00624F56">
      <w:pPr>
        <w:pStyle w:val="PPVBullet1"/>
      </w:pPr>
      <w:r>
        <w:t>to deliver the realignment of the Plummer Street/Fennell Street intersection</w:t>
      </w:r>
    </w:p>
    <w:p w:rsidR="00624F56" w:rsidRDefault="00624F56" w:rsidP="00624F56">
      <w:pPr>
        <w:pStyle w:val="PPVBullet1"/>
      </w:pPr>
      <w:r>
        <w:t>to deliver the tram alignment and proposed open space</w:t>
      </w:r>
    </w:p>
    <w:p w:rsidR="00624F56" w:rsidRDefault="00624F56" w:rsidP="00624F56">
      <w:pPr>
        <w:pStyle w:val="PPVBullet1"/>
      </w:pPr>
      <w:r>
        <w:t>to ensure that the remaining area of sites required for these purposes can support the proposed FARs for the Sandridge core.</w:t>
      </w:r>
    </w:p>
    <w:p w:rsidR="00624F56" w:rsidRDefault="00624F56" w:rsidP="00624F56">
      <w:r>
        <w:t xml:space="preserve">Land on both sides of the intersection is expected to be required for the tram.  </w:t>
      </w:r>
      <w:r w:rsidR="00A012F8">
        <w:t>T</w:t>
      </w:r>
      <w:r>
        <w:t xml:space="preserve">he Minister </w:t>
      </w:r>
      <w:r w:rsidR="00A012F8">
        <w:t xml:space="preserve">submitted </w:t>
      </w:r>
      <w:r>
        <w:t xml:space="preserve">that it is premature to identify exactly how much land will be required for the tram corridor, but the proposed open space arrangements presently depicted in the </w:t>
      </w:r>
      <w:r w:rsidR="00976C46">
        <w:t xml:space="preserve">draft </w:t>
      </w:r>
      <w:r>
        <w:t>Framework ensure that the road, tram, open space and developable sites are able to be provided.</w:t>
      </w:r>
    </w:p>
    <w:p w:rsidR="00A87965" w:rsidRPr="00A87965" w:rsidRDefault="00A87965" w:rsidP="00A87965">
      <w:pPr>
        <w:pStyle w:val="Heading4"/>
      </w:pPr>
      <w:r w:rsidRPr="00A87965">
        <w:t>Discussion</w:t>
      </w:r>
    </w:p>
    <w:p w:rsidR="00A87965" w:rsidRDefault="00A87965" w:rsidP="00976C46">
      <w:pPr>
        <w:pStyle w:val="PPVBody"/>
      </w:pPr>
      <w:r>
        <w:t>There is need to consider both</w:t>
      </w:r>
      <w:r w:rsidR="00976C46">
        <w:t xml:space="preserve"> </w:t>
      </w:r>
      <w:r>
        <w:t>the tactical reasons for relocating this open space</w:t>
      </w:r>
      <w:r w:rsidRPr="00301F86">
        <w:t xml:space="preserve"> </w:t>
      </w:r>
      <w:r>
        <w:t>and combining it with a civic function</w:t>
      </w:r>
      <w:r w:rsidR="00976C46">
        <w:t xml:space="preserve"> (namely that </w:t>
      </w:r>
      <w:r>
        <w:t>it will simplify acquisition</w:t>
      </w:r>
      <w:r w:rsidR="00976C46">
        <w:t xml:space="preserve">), and </w:t>
      </w:r>
      <w:r>
        <w:t xml:space="preserve">the strategic reasons </w:t>
      </w:r>
      <w:r w:rsidR="00976C46">
        <w:t>(namely that</w:t>
      </w:r>
      <w:r>
        <w:t xml:space="preserve"> it will create a better urban outcome</w:t>
      </w:r>
      <w:r w:rsidR="00976C46">
        <w:t>)</w:t>
      </w:r>
      <w:r>
        <w:t>.</w:t>
      </w:r>
    </w:p>
    <w:p w:rsidR="00A87965" w:rsidRDefault="00A87965" w:rsidP="00A87965">
      <w:pPr>
        <w:pStyle w:val="PPVBody"/>
      </w:pPr>
      <w:r>
        <w:t>The Review Panel is not convinced the relocation has strategic merit.  As currently proposed,</w:t>
      </w:r>
      <w:r w:rsidR="00E70426">
        <w:t xml:space="preserve"> the open space on the south side of the intersection </w:t>
      </w:r>
      <w:r>
        <w:t>has the potential for a north facing active frontage, which</w:t>
      </w:r>
      <w:r w:rsidR="00E70426" w:rsidRPr="00E70426">
        <w:t xml:space="preserve"> </w:t>
      </w:r>
      <w:r w:rsidR="00E70426">
        <w:t xml:space="preserve">could be </w:t>
      </w:r>
      <w:r w:rsidR="00976C46">
        <w:t>very successful</w:t>
      </w:r>
      <w:r>
        <w:t xml:space="preserve"> if developed well.  Such a space benefits from being on the south side of the road</w:t>
      </w:r>
      <w:r w:rsidR="00976C46">
        <w:t>,</w:t>
      </w:r>
      <w:r>
        <w:t xml:space="preserve"> allowing for sun penetration with less impact on buildings with respect to overshadowing controls.</w:t>
      </w:r>
    </w:p>
    <w:p w:rsidR="00A87965" w:rsidRDefault="00A87965" w:rsidP="00A87965">
      <w:pPr>
        <w:pStyle w:val="PPVBody"/>
      </w:pPr>
      <w:r>
        <w:t>Reconstructing the Plummer/Bridge Street intersection and incorporating a tram will be no small endeavour.  Whether land on one or both sides of the intersection will ultimately need to be purchased, may not be a significant factor at all in the broader scheme of delivering the tram project</w:t>
      </w:r>
      <w:r w:rsidR="00976C46">
        <w:t>.</w:t>
      </w:r>
    </w:p>
    <w:p w:rsidR="00B053BA" w:rsidRDefault="00B053BA" w:rsidP="00A87965">
      <w:pPr>
        <w:pStyle w:val="Heading2"/>
      </w:pPr>
      <w:bookmarkStart w:id="78" w:name="_Toc519848986"/>
      <w:r>
        <w:t>Woolboard and Bertie Streets</w:t>
      </w:r>
      <w:bookmarkEnd w:id="78"/>
    </w:p>
    <w:p w:rsidR="00A87965" w:rsidRPr="00C23431" w:rsidRDefault="00A87965" w:rsidP="00A87965">
      <w:pPr>
        <w:pStyle w:val="Heading4"/>
      </w:pPr>
      <w:r>
        <w:t>Submissions and evid</w:t>
      </w:r>
      <w:r w:rsidR="004B5700">
        <w:t>ence</w:t>
      </w:r>
    </w:p>
    <w:p w:rsidR="009C28BB" w:rsidRDefault="009C28BB" w:rsidP="009C28BB">
      <w:pPr>
        <w:pStyle w:val="PPVBody"/>
      </w:pPr>
      <w:r>
        <w:t>Ms Thompson gave evidence that:</w:t>
      </w:r>
    </w:p>
    <w:p w:rsidR="009C28BB" w:rsidRDefault="009C28BB" w:rsidP="009C28BB">
      <w:pPr>
        <w:pStyle w:val="PPVQuote"/>
      </w:pPr>
      <w:r w:rsidRPr="009C28BB">
        <w:t>Given the urban densities and the distance of approximately 800 metres to the North Port Oval District open space, I have recommended that the proposed linear form of park is reconfigured into a larger Neighbourhood open space (8,594 sqm) so that facilities such as multi use courts can be provided in it and allow for a diversity of uses and adaptability in the future</w:t>
      </w:r>
      <w:r w:rsidR="00AD2995" w:rsidRPr="009C28BB">
        <w:t>.</w:t>
      </w:r>
      <w:r w:rsidR="00AD2995">
        <w:t xml:space="preserve">  </w:t>
      </w:r>
      <w:r w:rsidR="00AD2995" w:rsidRPr="009C28BB">
        <w:t>T</w:t>
      </w:r>
      <w:r w:rsidRPr="009C28BB">
        <w:t>he proposed linear link between Bertie and Ingles Streets is located along a laneway access</w:t>
      </w:r>
      <w:r w:rsidR="00AD2995" w:rsidRPr="009C28BB">
        <w:t>.</w:t>
      </w:r>
      <w:r w:rsidR="00AD2995">
        <w:t xml:space="preserve">  </w:t>
      </w:r>
      <w:r w:rsidR="00AD2995" w:rsidRPr="009C28BB">
        <w:t>I</w:t>
      </w:r>
      <w:r w:rsidRPr="009C28BB">
        <w:t xml:space="preserve"> recommend that this should be included into the road reserve and designed as a streetscape with the required pedestrian and vehicle connectivity and large canopy trees.</w:t>
      </w:r>
      <w:r w:rsidR="00593259">
        <w:rPr>
          <w:rStyle w:val="FootnoteReference"/>
        </w:rPr>
        <w:footnoteReference w:id="10"/>
      </w:r>
    </w:p>
    <w:p w:rsidR="00B053BA" w:rsidRDefault="00B053BA" w:rsidP="00B053BA">
      <w:pPr>
        <w:pStyle w:val="PPVBody"/>
      </w:pPr>
      <w:r>
        <w:t xml:space="preserve">The Minister accepted an increase in the public open space provision for the </w:t>
      </w:r>
      <w:r w:rsidR="003B5FA1">
        <w:t>Sandridge Precinct</w:t>
      </w:r>
      <w:r>
        <w:t xml:space="preserve"> by adopting Ms Thompson’s recommendation for an expanded park on the corner of Woolboard and Bertie Streets.  As exhibited, the total new open space shown for the </w:t>
      </w:r>
      <w:r w:rsidR="003B5FA1">
        <w:t>Sandridge Precinct</w:t>
      </w:r>
      <w:r>
        <w:t xml:space="preserve"> in the draft Framework is 94,607 square metres.</w:t>
      </w:r>
    </w:p>
    <w:p w:rsidR="00B053BA" w:rsidRDefault="00593259" w:rsidP="00B053BA">
      <w:r>
        <w:t>The effect of accepting</w:t>
      </w:r>
      <w:r w:rsidR="00B053BA">
        <w:t xml:space="preserve"> this recommendation is to increase the public open space by an additional 1</w:t>
      </w:r>
      <w:r w:rsidR="00FF1251">
        <w:t>,242</w:t>
      </w:r>
      <w:r w:rsidR="00B053BA">
        <w:t xml:space="preserve"> square metres, bringing the total provision for Sandridge to 95,849 square metres.</w:t>
      </w:r>
    </w:p>
    <w:p w:rsidR="00A87965" w:rsidRPr="00445060" w:rsidRDefault="00A87965" w:rsidP="00A87965">
      <w:pPr>
        <w:pStyle w:val="Heading4"/>
      </w:pPr>
      <w:r w:rsidRPr="00445060">
        <w:t>Discussion</w:t>
      </w:r>
    </w:p>
    <w:p w:rsidR="00A87965" w:rsidRDefault="001B5CF3" w:rsidP="0054678B">
      <w:r>
        <w:t xml:space="preserve">The outcome </w:t>
      </w:r>
      <w:r w:rsidR="00976C46">
        <w:t xml:space="preserve">of </w:t>
      </w:r>
      <w:r>
        <w:t>this change is a larger, and more us</w:t>
      </w:r>
      <w:r w:rsidR="00FF1251">
        <w:t>eable</w:t>
      </w:r>
      <w:r>
        <w:t xml:space="preserve"> open space in Sandridge North and the provision of a linear park for the proposed recreation loop.</w:t>
      </w:r>
      <w:r w:rsidR="00976C46">
        <w:t xml:space="preserve">  </w:t>
      </w:r>
      <w:r w:rsidR="00A87965">
        <w:t xml:space="preserve">The Review Panel supports the increased open space proposed in the Part C controls.  </w:t>
      </w:r>
      <w:r w:rsidR="00A87965" w:rsidRPr="009C28BB">
        <w:t xml:space="preserve">Given the distance of approximately 800 metres to the North Port Oval District open space, </w:t>
      </w:r>
      <w:r w:rsidR="00A87965">
        <w:t>reconfiguring the open space</w:t>
      </w:r>
      <w:r w:rsidR="00A87965" w:rsidRPr="009C28BB">
        <w:t xml:space="preserve"> into a l</w:t>
      </w:r>
      <w:r w:rsidR="00A87965">
        <w:t xml:space="preserve">arger neighbourhood open space </w:t>
      </w:r>
      <w:r w:rsidR="00A87965" w:rsidRPr="009C28BB">
        <w:t xml:space="preserve">so </w:t>
      </w:r>
      <w:r w:rsidR="00A87965">
        <w:t xml:space="preserve">that </w:t>
      </w:r>
      <w:r w:rsidR="00A87965" w:rsidRPr="009C28BB">
        <w:t xml:space="preserve">multi use courts </w:t>
      </w:r>
      <w:r w:rsidR="00A87965">
        <w:t>and the like can be provided makes sense.</w:t>
      </w:r>
    </w:p>
    <w:p w:rsidR="00DF62AD" w:rsidRDefault="00DF62AD" w:rsidP="00A87965">
      <w:pPr>
        <w:pStyle w:val="Heading2"/>
      </w:pPr>
      <w:bookmarkStart w:id="79" w:name="_Toc519848987"/>
      <w:r>
        <w:t>Woolboard Road extension open space</w:t>
      </w:r>
      <w:bookmarkEnd w:id="79"/>
    </w:p>
    <w:p w:rsidR="00A87965" w:rsidRPr="00C23431" w:rsidRDefault="004B5700" w:rsidP="00A87965">
      <w:pPr>
        <w:pStyle w:val="Heading4"/>
      </w:pPr>
      <w:r>
        <w:t>Submissions and evidence</w:t>
      </w:r>
    </w:p>
    <w:p w:rsidR="00DF62AD" w:rsidRDefault="00DF62AD" w:rsidP="00DF62AD">
      <w:pPr>
        <w:pStyle w:val="PPVBody"/>
      </w:pPr>
      <w:r>
        <w:t xml:space="preserve">Port Phillip submitted that the public open space in the </w:t>
      </w:r>
      <w:r w:rsidR="00FB36AC">
        <w:t>draft Amendment</w:t>
      </w:r>
      <w:r>
        <w:t xml:space="preserve"> be relocated to shift 6,700 square metres of proposed public open space from the south side of the Woolboard Road extension (leaving a 12 metre wide linear park) to deliver the l</w:t>
      </w:r>
      <w:r w:rsidR="00FB36AC">
        <w:t>arger public open space (about</w:t>
      </w:r>
      <w:r>
        <w:t xml:space="preserve"> 10,000 square metres) on the north side of the street at 155 Bertie Street.</w:t>
      </w:r>
    </w:p>
    <w:p w:rsidR="00A87965" w:rsidRPr="00A87965" w:rsidRDefault="00A87965" w:rsidP="00A87965">
      <w:pPr>
        <w:pStyle w:val="Heading4"/>
      </w:pPr>
      <w:r w:rsidRPr="00445060">
        <w:t>Discussion</w:t>
      </w:r>
    </w:p>
    <w:p w:rsidR="00A87965" w:rsidRDefault="00A87965" w:rsidP="00A87965">
      <w:pPr>
        <w:pStyle w:val="PPVBody"/>
      </w:pPr>
      <w:r>
        <w:t xml:space="preserve">Port Phillip proposed relocating this open space onto the Toyota land in the location of its existing headquarters.  </w:t>
      </w:r>
      <w:r w:rsidR="00976C46">
        <w:t xml:space="preserve">The Review Panel does not support this.  There is a </w:t>
      </w:r>
      <w:r>
        <w:t>commitment to support Toyota as a long-term employment generating use in Sandridge</w:t>
      </w:r>
      <w:r w:rsidR="00976C46">
        <w:t xml:space="preserve">.  The </w:t>
      </w:r>
      <w:r>
        <w:t>space is not needed to support a safe and convenient 200 metre catchment for residents and workers.  The expanded park on the southwest corner of Woolboard and Bertie Streets provides a</w:t>
      </w:r>
      <w:r w:rsidR="00976C46">
        <w:t xml:space="preserve"> better </w:t>
      </w:r>
      <w:r>
        <w:t xml:space="preserve">alternative as a larger open space to the </w:t>
      </w:r>
      <w:r w:rsidR="00976C46">
        <w:t xml:space="preserve">Port Phillip </w:t>
      </w:r>
      <w:r>
        <w:t>proposal for the Toyota land.</w:t>
      </w:r>
    </w:p>
    <w:p w:rsidR="00B053BA" w:rsidRDefault="00B053BA" w:rsidP="00A87965">
      <w:pPr>
        <w:pStyle w:val="Heading2"/>
      </w:pPr>
      <w:bookmarkStart w:id="80" w:name="_Toc519848988"/>
      <w:r>
        <w:t>Boundary Street park</w:t>
      </w:r>
      <w:bookmarkEnd w:id="80"/>
    </w:p>
    <w:p w:rsidR="00A87965" w:rsidRPr="00C23431" w:rsidRDefault="004B5700" w:rsidP="00A87965">
      <w:pPr>
        <w:pStyle w:val="Heading4"/>
      </w:pPr>
      <w:r>
        <w:t>Submissions and evidence</w:t>
      </w:r>
    </w:p>
    <w:p w:rsidR="001B5CF3" w:rsidRPr="00DF62AD" w:rsidRDefault="001B5CF3" w:rsidP="001B5CF3">
      <w:r w:rsidRPr="00DF62AD">
        <w:t>Kador submitted that locating substantial open space in this location unreasonably impacts on the development potential of its site and is ill considered.  It said that the open space would be better located on the south west side of Boundary Street, to optimise sunlight access.</w:t>
      </w:r>
    </w:p>
    <w:p w:rsidR="00DF38AE" w:rsidRDefault="000333F8" w:rsidP="00FB36AC">
      <w:pPr>
        <w:pStyle w:val="PPVBody"/>
      </w:pPr>
      <w:r>
        <w:t>The Minister did not propose</w:t>
      </w:r>
      <w:r w:rsidR="00B053BA">
        <w:t xml:space="preserve"> to expand the Boundary Street park towards White Street on</w:t>
      </w:r>
      <w:r w:rsidR="001B5CF3">
        <w:t>to</w:t>
      </w:r>
      <w:r w:rsidR="00B053BA">
        <w:t xml:space="preserve"> Crown land because the Minister wishes to preserve the opportunity to deliver social housing or community infrastructure on this site in addition to open space.</w:t>
      </w:r>
    </w:p>
    <w:p w:rsidR="00B053BA" w:rsidRDefault="00B053BA" w:rsidP="00B053BA">
      <w:r w:rsidRPr="00DF62AD">
        <w:t>The Minister submitted that the expanded park does not materially strengthen the 200</w:t>
      </w:r>
      <w:r>
        <w:t xml:space="preserve"> metre walkable catchment from homes and workplaces.  It is acknowledged that the larger area would support a broader range of uses</w:t>
      </w:r>
      <w:r w:rsidR="00976C46">
        <w:t>.  H</w:t>
      </w:r>
      <w:r>
        <w:t xml:space="preserve">owever, the alternative of additional opportunities on a scarce piece of Crown land is preferred in this instance.  As a consequence, the associated recommendations of Port Phillip to remove the linear parks delivered by road closures </w:t>
      </w:r>
      <w:r w:rsidR="0054359B">
        <w:t>was</w:t>
      </w:r>
      <w:r>
        <w:t xml:space="preserve"> not </w:t>
      </w:r>
      <w:r w:rsidR="0054359B">
        <w:t>supported by the Minister</w:t>
      </w:r>
      <w:r>
        <w:t xml:space="preserve"> and the partial closure of White Street and Gittus Street is proposed to be retained.</w:t>
      </w:r>
    </w:p>
    <w:p w:rsidR="00B053BA" w:rsidRDefault="00B053BA" w:rsidP="00B053BA">
      <w:r>
        <w:t>The proposal for a new open space on the corner of Fennell and Boundary Street was not supported by the Minister on the grounds that it would require introduction of new height controls in an area within the core intended for unlimited heights and would have implications for achievement of the FAR on the affected sites.</w:t>
      </w:r>
    </w:p>
    <w:p w:rsidR="00A87965" w:rsidRPr="00A87965" w:rsidRDefault="00A87965" w:rsidP="00A87965">
      <w:pPr>
        <w:pStyle w:val="Heading4"/>
      </w:pPr>
      <w:r w:rsidRPr="00445060">
        <w:t>Discussion</w:t>
      </w:r>
    </w:p>
    <w:p w:rsidR="00A87965" w:rsidRDefault="00A87965" w:rsidP="00A87965">
      <w:pPr>
        <w:pStyle w:val="PPVBody"/>
      </w:pPr>
      <w:r>
        <w:t>The Review Panel accepts the Minister’s position on this area of open space.  As discussed in the Overview Report, the provision of affordable and social housing is important and retaining the opportunity for social or affordable housing on this land makes sense.</w:t>
      </w:r>
    </w:p>
    <w:p w:rsidR="00DF62AD" w:rsidRDefault="006B3EF6" w:rsidP="00A87965">
      <w:pPr>
        <w:pStyle w:val="Heading2"/>
      </w:pPr>
      <w:bookmarkStart w:id="81" w:name="_Toc519848989"/>
      <w:r>
        <w:t>C</w:t>
      </w:r>
      <w:r w:rsidR="00DF62AD">
        <w:t>orner of Fennel and Bertie Streets</w:t>
      </w:r>
      <w:bookmarkEnd w:id="81"/>
    </w:p>
    <w:p w:rsidR="00A87965" w:rsidRPr="00C23431" w:rsidRDefault="004B5700" w:rsidP="00A87965">
      <w:pPr>
        <w:pStyle w:val="Heading4"/>
      </w:pPr>
      <w:r>
        <w:t>Submissions and evidence</w:t>
      </w:r>
    </w:p>
    <w:p w:rsidR="0054359B" w:rsidRDefault="0054359B" w:rsidP="0054359B">
      <w:pPr>
        <w:pStyle w:val="PPVBody"/>
      </w:pPr>
      <w:r w:rsidRPr="00650EE2">
        <w:t>Ms Thompson r</w:t>
      </w:r>
      <w:r>
        <w:t>ecommended</w:t>
      </w:r>
      <w:r w:rsidRPr="00650EE2">
        <w:t xml:space="preserve"> consolidation of open space, and the proposed removal of the open space</w:t>
      </w:r>
      <w:r>
        <w:t xml:space="preserve"> on</w:t>
      </w:r>
      <w:r w:rsidRPr="00650EE2">
        <w:t xml:space="preserve"> </w:t>
      </w:r>
      <w:r>
        <w:t>the corner of Fennel and Bertie Streets</w:t>
      </w:r>
      <w:r w:rsidRPr="00650EE2">
        <w:t>.</w:t>
      </w:r>
      <w:r>
        <w:t xml:space="preserve">  The proposal to reconfigure the open space on the corner of Fennell and Bertie Streets was not supported by the Minister.</w:t>
      </w:r>
    </w:p>
    <w:p w:rsidR="0054359B" w:rsidRPr="00650EE2" w:rsidRDefault="001A320A" w:rsidP="0054359B">
      <w:pPr>
        <w:pStyle w:val="PPVBody"/>
      </w:pPr>
      <w:r>
        <w:t xml:space="preserve">Nias Nominees Pty Ltd operates Australia's largest independent picture and sound post-production company, trading as Soundfirm at 2 – 31 Fennell Street.  </w:t>
      </w:r>
      <w:r w:rsidR="0054359B" w:rsidRPr="00650EE2">
        <w:t>Soundfirm supports the evidence of Ms Thompson regarding the proposed consolidation of open space, and the proposed removal of the open space</w:t>
      </w:r>
      <w:r w:rsidR="0054359B">
        <w:t xml:space="preserve"> on</w:t>
      </w:r>
      <w:r w:rsidR="0054359B" w:rsidRPr="00650EE2">
        <w:t xml:space="preserve"> </w:t>
      </w:r>
      <w:r w:rsidR="0054359B">
        <w:t>the corner of Fennel and Bertie Streets</w:t>
      </w:r>
      <w:r w:rsidR="0054359B" w:rsidRPr="00650EE2">
        <w:t>.</w:t>
      </w:r>
    </w:p>
    <w:p w:rsidR="0066202F" w:rsidRDefault="0066202F" w:rsidP="0066202F">
      <w:pPr>
        <w:pStyle w:val="PPVBody"/>
      </w:pPr>
      <w:r w:rsidRPr="00650EE2">
        <w:t xml:space="preserve">The </w:t>
      </w:r>
      <w:r>
        <w:t>Soundfirm s</w:t>
      </w:r>
      <w:r w:rsidRPr="00650EE2">
        <w:t xml:space="preserve">ite has also engineered to comply with the Motion Picture Association of America Content Security Program, referred to as MPAA Accreditation, which enables Soundfirm to work on assignments from the </w:t>
      </w:r>
      <w:r>
        <w:t>US.</w:t>
      </w:r>
      <w:r w:rsidR="001A320A">
        <w:t xml:space="preserve">  </w:t>
      </w:r>
      <w:r>
        <w:t>Designing and refurbishing the s</w:t>
      </w:r>
      <w:r w:rsidRPr="00650EE2">
        <w:t xml:space="preserve">ite as a cutting-edge facility has cost over $3.5 million. </w:t>
      </w:r>
      <w:r w:rsidR="00FD731E">
        <w:t xml:space="preserve"> </w:t>
      </w:r>
      <w:r w:rsidRPr="00650EE2">
        <w:t xml:space="preserve">Works to the </w:t>
      </w:r>
      <w:r w:rsidR="005A547B">
        <w:t>si</w:t>
      </w:r>
      <w:r w:rsidRPr="00650EE2">
        <w:t>te include</w:t>
      </w:r>
      <w:r>
        <w:t xml:space="preserve"> specialised sound mixing equipment not found elsewhere in Australia.</w:t>
      </w:r>
      <w:r w:rsidR="001A320A">
        <w:t xml:space="preserve">  </w:t>
      </w:r>
      <w:r>
        <w:t>T</w:t>
      </w:r>
      <w:r w:rsidRPr="00650EE2">
        <w:t xml:space="preserve">he total investment in the </w:t>
      </w:r>
      <w:r w:rsidR="00BA473B">
        <w:t>s</w:t>
      </w:r>
      <w:r w:rsidRPr="00650EE2">
        <w:t>ite has been in excess of $7 million, which</w:t>
      </w:r>
      <w:r>
        <w:t>, it was submitted,</w:t>
      </w:r>
      <w:r w:rsidRPr="00650EE2">
        <w:t xml:space="preserve"> has undoubtedly contributed to Soundfirm's reputation as a world class post-production studio (of which there are only two in Australia).</w:t>
      </w:r>
    </w:p>
    <w:p w:rsidR="00A87965" w:rsidRPr="00445060" w:rsidRDefault="00A87965" w:rsidP="00A87965">
      <w:pPr>
        <w:pStyle w:val="Heading4"/>
      </w:pPr>
      <w:r w:rsidRPr="00445060">
        <w:t>Discussion</w:t>
      </w:r>
    </w:p>
    <w:p w:rsidR="00A87965" w:rsidRPr="00FA7ADB" w:rsidRDefault="00A87965" w:rsidP="00A87965">
      <w:pPr>
        <w:pStyle w:val="PPVBody"/>
      </w:pPr>
      <w:r>
        <w:t>Soundfirm would appear to be an operation worth keeping in Fishermans Bend give its profile and the nature of employment it provides.</w:t>
      </w:r>
      <w:r w:rsidR="001A320A">
        <w:t xml:space="preserve">  </w:t>
      </w:r>
      <w:r>
        <w:t>There would be merit in revisiting the role and location of this open space in the Precinct Planning process.</w:t>
      </w:r>
    </w:p>
    <w:p w:rsidR="008A083A" w:rsidRDefault="00A462FE" w:rsidP="00A462FE">
      <w:pPr>
        <w:pStyle w:val="Heading2"/>
      </w:pPr>
      <w:bookmarkStart w:id="82" w:name="_Toc519848990"/>
      <w:r>
        <w:t>Findings</w:t>
      </w:r>
      <w:bookmarkEnd w:id="82"/>
    </w:p>
    <w:p w:rsidR="00FA7ADB" w:rsidRDefault="00FA7ADB" w:rsidP="00FA7ADB">
      <w:pPr>
        <w:pStyle w:val="PPVBody"/>
      </w:pPr>
      <w:r>
        <w:t>The Review Panel finds:</w:t>
      </w:r>
    </w:p>
    <w:p w:rsidR="00FA7ADB" w:rsidRPr="00406F18" w:rsidRDefault="00FA7ADB" w:rsidP="0054678B">
      <w:pPr>
        <w:pStyle w:val="PPVBullet1"/>
      </w:pPr>
      <w:bookmarkStart w:id="83" w:name="_Toc519779798"/>
      <w:r w:rsidRPr="00406F18">
        <w:t>there is no compelling design reason to relocate the open space at the Plummer/Bridge Street intersection to the north side of the intersection</w:t>
      </w:r>
      <w:bookmarkEnd w:id="83"/>
    </w:p>
    <w:p w:rsidR="00FA7ADB" w:rsidRPr="00406F18" w:rsidRDefault="00FA7ADB" w:rsidP="0054678B">
      <w:pPr>
        <w:pStyle w:val="PPVBullet1"/>
      </w:pPr>
      <w:bookmarkStart w:id="84" w:name="_Toc519779799"/>
      <w:r w:rsidRPr="00406F18">
        <w:t>the proposed open space network in Sandridge as reflected in the revised CCZ and DDO maps is appropriate</w:t>
      </w:r>
      <w:bookmarkEnd w:id="84"/>
    </w:p>
    <w:p w:rsidR="00B959D3" w:rsidRPr="00406F18" w:rsidRDefault="0076449A" w:rsidP="0054678B">
      <w:pPr>
        <w:pStyle w:val="PPVBullet1"/>
      </w:pPr>
      <w:bookmarkStart w:id="85" w:name="_Toc519779800"/>
      <w:r w:rsidRPr="00406F18">
        <w:t>the open</w:t>
      </w:r>
      <w:r w:rsidR="00B959D3" w:rsidRPr="00406F18">
        <w:t xml:space="preserve"> </w:t>
      </w:r>
      <w:r w:rsidRPr="00406F18">
        <w:t>space</w:t>
      </w:r>
      <w:r w:rsidR="00B959D3" w:rsidRPr="00406F18">
        <w:t xml:space="preserve"> on the corner of Fennel and Bertie Streets should be revisited when preparing the Precinct Plan.</w:t>
      </w:r>
      <w:bookmarkEnd w:id="85"/>
    </w:p>
    <w:p w:rsidR="00A462FE" w:rsidRPr="00233351" w:rsidRDefault="00F948F4" w:rsidP="00A462FE">
      <w:pPr>
        <w:pStyle w:val="Heading1"/>
      </w:pPr>
      <w:bookmarkStart w:id="86" w:name="_Toc519848991"/>
      <w:r>
        <w:t>Location of community hubs</w:t>
      </w:r>
      <w:bookmarkEnd w:id="86"/>
    </w:p>
    <w:p w:rsidR="008A083A" w:rsidRDefault="00A462FE" w:rsidP="00A462FE">
      <w:pPr>
        <w:pStyle w:val="Heading2"/>
      </w:pPr>
      <w:bookmarkStart w:id="87" w:name="_Toc519848992"/>
      <w:r>
        <w:t>Context</w:t>
      </w:r>
      <w:bookmarkEnd w:id="87"/>
    </w:p>
    <w:p w:rsidR="007E6A3F" w:rsidRPr="007E6A3F" w:rsidRDefault="007E6A3F" w:rsidP="00015EB2">
      <w:pPr>
        <w:pStyle w:val="PPVBody"/>
        <w:ind w:right="281"/>
      </w:pPr>
      <w:r>
        <w:t xml:space="preserve">The areas of Sandridge identified as community hub investigation areas, as shown in </w:t>
      </w:r>
      <w:r>
        <w:rPr>
          <w:highlight w:val="yellow"/>
        </w:rPr>
        <w:fldChar w:fldCharType="begin"/>
      </w:r>
      <w:r>
        <w:instrText xml:space="preserve"> REF _Ref519186927 \h </w:instrText>
      </w:r>
      <w:r>
        <w:rPr>
          <w:highlight w:val="yellow"/>
        </w:rPr>
      </w:r>
      <w:r>
        <w:rPr>
          <w:highlight w:val="yellow"/>
        </w:rPr>
        <w:fldChar w:fldCharType="separate"/>
      </w:r>
      <w:r w:rsidR="00AA0E65">
        <w:t xml:space="preserve">Figure </w:t>
      </w:r>
      <w:r w:rsidR="00AA0E65">
        <w:rPr>
          <w:noProof/>
        </w:rPr>
        <w:t>8</w:t>
      </w:r>
      <w:r>
        <w:rPr>
          <w:highlight w:val="yellow"/>
        </w:rPr>
        <w:fldChar w:fldCharType="end"/>
      </w:r>
      <w:r>
        <w:t>.</w:t>
      </w:r>
    </w:p>
    <w:p w:rsidR="00A462FE" w:rsidRDefault="0066202F" w:rsidP="007E6A3F">
      <w:pPr>
        <w:pStyle w:val="Caption"/>
      </w:pPr>
      <w:bookmarkStart w:id="88" w:name="_Ref519186927"/>
      <w:bookmarkStart w:id="89" w:name="_Toc519849021"/>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8</w:t>
      </w:r>
      <w:r w:rsidR="009271C1">
        <w:rPr>
          <w:noProof/>
        </w:rPr>
        <w:fldChar w:fldCharType="end"/>
      </w:r>
      <w:bookmarkEnd w:id="88"/>
      <w:r w:rsidR="007E6A3F">
        <w:t>:</w:t>
      </w:r>
      <w:r w:rsidR="007E6A3F">
        <w:tab/>
        <w:t>Investigation areas for hubs</w:t>
      </w:r>
      <w:bookmarkEnd w:id="89"/>
    </w:p>
    <w:p w:rsidR="00C067A1" w:rsidRDefault="00C067A1" w:rsidP="00A462FE">
      <w:pPr>
        <w:pStyle w:val="PPVBody"/>
      </w:pPr>
      <w:r w:rsidRPr="00C067A1">
        <w:rPr>
          <w:noProof/>
        </w:rPr>
        <w:drawing>
          <wp:inline distT="0" distB="0" distL="0" distR="0">
            <wp:extent cx="5758543" cy="3291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172" b="2835"/>
                    <a:stretch/>
                  </pic:blipFill>
                  <pic:spPr bwMode="auto">
                    <a:xfrm>
                      <a:off x="0" y="0"/>
                      <a:ext cx="5759450" cy="3292358"/>
                    </a:xfrm>
                    <a:prstGeom prst="rect">
                      <a:avLst/>
                    </a:prstGeom>
                    <a:noFill/>
                    <a:ln>
                      <a:noFill/>
                    </a:ln>
                    <a:extLst>
                      <a:ext uri="{53640926-AAD7-44D8-BBD7-CCE9431645EC}">
                        <a14:shadowObscured xmlns:a14="http://schemas.microsoft.com/office/drawing/2010/main"/>
                      </a:ext>
                    </a:extLst>
                  </pic:spPr>
                </pic:pic>
              </a:graphicData>
            </a:graphic>
          </wp:inline>
        </w:drawing>
      </w:r>
    </w:p>
    <w:p w:rsidR="00F41DF7" w:rsidRDefault="00F41DF7" w:rsidP="00F41DF7">
      <w:pPr>
        <w:pStyle w:val="PPVBody"/>
        <w:tabs>
          <w:tab w:val="left" w:pos="4253"/>
        </w:tabs>
      </w:pPr>
      <w:r w:rsidRPr="00F41DF7">
        <w:rPr>
          <w:noProof/>
          <w:position w:val="-6"/>
        </w:rPr>
        <w:drawing>
          <wp:inline distT="0" distB="0" distL="0" distR="0">
            <wp:extent cx="251820" cy="2289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139" cy="229252"/>
                    </a:xfrm>
                    <a:prstGeom prst="rect">
                      <a:avLst/>
                    </a:prstGeom>
                    <a:noFill/>
                    <a:ln>
                      <a:noFill/>
                    </a:ln>
                  </pic:spPr>
                </pic:pic>
              </a:graphicData>
            </a:graphic>
          </wp:inline>
        </w:drawing>
      </w:r>
      <w:r>
        <w:t xml:space="preserve">  Sport and recreation hub</w:t>
      </w:r>
      <w:r>
        <w:tab/>
      </w:r>
      <w:r w:rsidRPr="00F41DF7">
        <w:rPr>
          <w:noProof/>
          <w:position w:val="-6"/>
        </w:rPr>
        <w:drawing>
          <wp:inline distT="0" distB="0" distL="0" distR="0" wp14:anchorId="1F545BCE" wp14:editId="0252A0A4">
            <wp:extent cx="252000" cy="2302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 cy="230216"/>
                    </a:xfrm>
                    <a:prstGeom prst="rect">
                      <a:avLst/>
                    </a:prstGeom>
                    <a:noFill/>
                    <a:ln>
                      <a:noFill/>
                    </a:ln>
                  </pic:spPr>
                </pic:pic>
              </a:graphicData>
            </a:graphic>
          </wp:inline>
        </w:drawing>
      </w:r>
      <w:r>
        <w:t xml:space="preserve">  Art and cultural hub</w:t>
      </w:r>
    </w:p>
    <w:p w:rsidR="00A462FE" w:rsidRDefault="00F41DF7" w:rsidP="00A462FE">
      <w:pPr>
        <w:pStyle w:val="PPVBody"/>
      </w:pPr>
      <w:r w:rsidRPr="00F41DF7">
        <w:rPr>
          <w:noProof/>
          <w:position w:val="-6"/>
        </w:rPr>
        <w:drawing>
          <wp:inline distT="0" distB="0" distL="0" distR="0">
            <wp:extent cx="252000" cy="230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 cy="230175"/>
                    </a:xfrm>
                    <a:prstGeom prst="rect">
                      <a:avLst/>
                    </a:prstGeom>
                    <a:noFill/>
                    <a:ln>
                      <a:noFill/>
                    </a:ln>
                  </pic:spPr>
                </pic:pic>
              </a:graphicData>
            </a:graphic>
          </wp:inline>
        </w:drawing>
      </w:r>
      <w:r>
        <w:t xml:space="preserve">  Education and community hub (primary)</w:t>
      </w:r>
    </w:p>
    <w:p w:rsidR="0066202F" w:rsidRPr="00960588" w:rsidRDefault="0066202F" w:rsidP="0066202F">
      <w:pPr>
        <w:pStyle w:val="PPVSource"/>
      </w:pPr>
      <w:r>
        <w:t>Source: Replacement Part C Control maps (D317)</w:t>
      </w:r>
    </w:p>
    <w:p w:rsidR="008A083A" w:rsidRDefault="00A462FE" w:rsidP="00A462FE">
      <w:pPr>
        <w:pStyle w:val="Heading2"/>
      </w:pPr>
      <w:bookmarkStart w:id="90" w:name="_Toc519848993"/>
      <w:r w:rsidRPr="00445060">
        <w:t>Submissions</w:t>
      </w:r>
      <w:r>
        <w:t xml:space="preserve"> and evidence</w:t>
      </w:r>
      <w:bookmarkEnd w:id="90"/>
    </w:p>
    <w:p w:rsidR="00125E7B" w:rsidRDefault="00015EB2" w:rsidP="007E6A3F">
      <w:pPr>
        <w:pStyle w:val="Heading5"/>
      </w:pPr>
      <w:r>
        <w:t>Identifying s</w:t>
      </w:r>
      <w:r w:rsidR="00125E7B">
        <w:t>pecific sites</w:t>
      </w:r>
    </w:p>
    <w:p w:rsidR="00DF38AE" w:rsidRDefault="00125E7B" w:rsidP="00125E7B">
      <w:pPr>
        <w:pStyle w:val="PPVBody"/>
      </w:pPr>
      <w:r>
        <w:t>Port Phillip submitted that it had identified specific locations for the various hubs, including the Health and Well</w:t>
      </w:r>
      <w:r w:rsidR="00FF1251">
        <w:t>being</w:t>
      </w:r>
      <w:r>
        <w:t xml:space="preserve"> Hub, which Council suggests should be relocated from Wirraway to Sandridge, in preference to broad investigation areas.  The idea of identifying specific sites is consistent with the other</w:t>
      </w:r>
      <w:r w:rsidR="007E6A3F">
        <w:t xml:space="preserve"> submission of Port Phillip</w:t>
      </w:r>
      <w:r>
        <w:t xml:space="preserve">, namely the funding of these facilities </w:t>
      </w:r>
      <w:r w:rsidR="00193F12">
        <w:t>by way of</w:t>
      </w:r>
      <w:r>
        <w:t xml:space="preserve"> a DCP</w:t>
      </w:r>
      <w:r w:rsidR="007E6A3F">
        <w:t xml:space="preserve">.  Identifying a specific site, </w:t>
      </w:r>
      <w:r>
        <w:t xml:space="preserve">which </w:t>
      </w:r>
      <w:r w:rsidR="007E6A3F">
        <w:t xml:space="preserve">Port Phillip submitted, </w:t>
      </w:r>
      <w:r>
        <w:t>occurs in virtually all other structure planning in V</w:t>
      </w:r>
      <w:r w:rsidR="007E6A3F">
        <w:t>ictoria,</w:t>
      </w:r>
      <w:r>
        <w:t xml:space="preserve"> also provides far greater certainty to the community, developers and government.</w:t>
      </w:r>
    </w:p>
    <w:p w:rsidR="00125E7B" w:rsidRDefault="00125E7B" w:rsidP="00125E7B">
      <w:pPr>
        <w:pStyle w:val="PPVBody"/>
      </w:pPr>
      <w:r>
        <w:t xml:space="preserve">Ms Heggen and Mr Rogers agreed </w:t>
      </w:r>
      <w:r w:rsidR="007E6A3F">
        <w:t>it</w:t>
      </w:r>
      <w:r>
        <w:t xml:space="preserve"> was a better approach </w:t>
      </w:r>
      <w:r w:rsidR="007E6A3F">
        <w:t xml:space="preserve">to identify specific sites </w:t>
      </w:r>
      <w:r>
        <w:t>than identifying investigation areas.</w:t>
      </w:r>
    </w:p>
    <w:p w:rsidR="00125E7B" w:rsidRDefault="00125E7B" w:rsidP="00125E7B">
      <w:r>
        <w:t xml:space="preserve">The Minister </w:t>
      </w:r>
      <w:r w:rsidR="007E6A3F">
        <w:t xml:space="preserve">submitted that he </w:t>
      </w:r>
      <w:r>
        <w:t>wished to preserve the opportunity for the community hubs to be provided within the broader nominated investigation areas.  If necessary, the exact location for the community hubs could be fixed in the Precinct Plan process.</w:t>
      </w:r>
    </w:p>
    <w:p w:rsidR="00125E7B" w:rsidRDefault="00125E7B" w:rsidP="007E6A3F">
      <w:pPr>
        <w:pStyle w:val="Heading5"/>
      </w:pPr>
      <w:r>
        <w:t>Health and Well</w:t>
      </w:r>
      <w:r w:rsidR="00FF1251">
        <w:t>being</w:t>
      </w:r>
      <w:r>
        <w:t xml:space="preserve"> Hub</w:t>
      </w:r>
    </w:p>
    <w:p w:rsidR="00125E7B" w:rsidRDefault="00125E7B" w:rsidP="00125E7B">
      <w:pPr>
        <w:pStyle w:val="PPVBody"/>
      </w:pPr>
      <w:r>
        <w:t xml:space="preserve">Port Phillip’s proposed location for the Sandridge North Park on Toyota’s land </w:t>
      </w:r>
      <w:r w:rsidR="0009769F">
        <w:t xml:space="preserve">at 155 Bertie Street </w:t>
      </w:r>
      <w:r>
        <w:t>would locate the Health and Wellbeing Hub adjacent to the park within a mixed</w:t>
      </w:r>
      <w:r w:rsidR="00FF1251">
        <w:t xml:space="preserve"> </w:t>
      </w:r>
      <w:r>
        <w:t>use building on the Goodman land.  Port Phillip submitted that this fulfils many orderly plann</w:t>
      </w:r>
      <w:r w:rsidR="0009769F">
        <w:t>ing principles involving the co</w:t>
      </w:r>
      <w:r>
        <w:t>location of civic uses.</w:t>
      </w:r>
    </w:p>
    <w:p w:rsidR="00125E7B" w:rsidRDefault="00125E7B" w:rsidP="00125E7B">
      <w:pPr>
        <w:pStyle w:val="PPVBody"/>
      </w:pPr>
      <w:r>
        <w:t xml:space="preserve">In turn, it </w:t>
      </w:r>
      <w:r w:rsidR="00886C7E">
        <w:t xml:space="preserve">was submitted that this </w:t>
      </w:r>
      <w:r>
        <w:t xml:space="preserve">would create an important northern anchor to the Sandridge Activity Centre in the longer term, connected by a green spine along Bertie Street to the cluster of hubs adjacent to the proposed expansion of North Port Oval.  </w:t>
      </w:r>
      <w:r w:rsidR="00324B22">
        <w:t xml:space="preserve">Port Phillip said that there was </w:t>
      </w:r>
      <w:r>
        <w:t>an undeniable order and logic in this sort of planning which will further entrench this key</w:t>
      </w:r>
      <w:r w:rsidR="0014301B">
        <w:t xml:space="preserve"> landmark at the southern end, saying </w:t>
      </w:r>
      <w:r w:rsidR="0014301B" w:rsidRPr="0014301B">
        <w:rPr>
          <w:i/>
        </w:rPr>
        <w:t>“That is what place making is all about”</w:t>
      </w:r>
      <w:r>
        <w:t>.</w:t>
      </w:r>
    </w:p>
    <w:p w:rsidR="00125E7B" w:rsidRDefault="00125E7B" w:rsidP="00125E7B">
      <w:pPr>
        <w:pStyle w:val="PPVBody"/>
      </w:pPr>
      <w:r>
        <w:t>Port Phillip submitted that this approach will provide a clear physical framework upon which Fennell Street and Bertie Street can develop over time, noting that the Metro Station at the junction of these key streets will, in the longer term, complete the urban structure of Sandridge.</w:t>
      </w:r>
    </w:p>
    <w:p w:rsidR="00125E7B" w:rsidRDefault="00125E7B" w:rsidP="007E6A3F">
      <w:pPr>
        <w:pStyle w:val="Heading5"/>
      </w:pPr>
      <w:r>
        <w:t>Art and cultural hub</w:t>
      </w:r>
    </w:p>
    <w:p w:rsidR="00125E7B" w:rsidRDefault="00125E7B" w:rsidP="00125E7B">
      <w:pPr>
        <w:pStyle w:val="PPVBody"/>
      </w:pPr>
      <w:r>
        <w:t xml:space="preserve">Port Phillip submitted that the CCZ1 should include a plan showing the Sandridge Urban Structure identifying the preferred location for the </w:t>
      </w:r>
      <w:r w:rsidR="00BA473B">
        <w:t>a</w:t>
      </w:r>
      <w:r>
        <w:t xml:space="preserve">rts and </w:t>
      </w:r>
      <w:r w:rsidR="00BA473B">
        <w:t>c</w:t>
      </w:r>
      <w:r>
        <w:t xml:space="preserve">ulture </w:t>
      </w:r>
      <w:r w:rsidR="00BA473B">
        <w:t>h</w:t>
      </w:r>
      <w:r>
        <w:t>ub as 577 Plummer Street.</w:t>
      </w:r>
    </w:p>
    <w:p w:rsidR="00125E7B" w:rsidRDefault="00125E7B" w:rsidP="00125E7B">
      <w:r>
        <w:t>The Minister did not accept this recommendation.</w:t>
      </w:r>
    </w:p>
    <w:p w:rsidR="00125E7B" w:rsidRDefault="00125E7B" w:rsidP="00125E7B">
      <w:r>
        <w:t>The Minister noted that the location is within the investigation area for the arts and culture hub and agrees that the location is an appropriate one.  However, the Minister wished to preserve the opportunity for the arts and culture hub to be provided within the investigation area.  The Minister submitted that if necessary, the exact location for the arts and culture hub could be fixed in the Precinct Plan.</w:t>
      </w:r>
    </w:p>
    <w:p w:rsidR="00125E7B" w:rsidRDefault="00125E7B" w:rsidP="00125E7B">
      <w:pPr>
        <w:pStyle w:val="PPVBody"/>
      </w:pPr>
      <w:r>
        <w:t xml:space="preserve">Port Phillip submitted that that </w:t>
      </w:r>
      <w:r w:rsidR="00230208">
        <w:t>an</w:t>
      </w:r>
      <w:r>
        <w:t xml:space="preserve"> Art</w:t>
      </w:r>
      <w:r w:rsidR="003E00E5">
        <w:t xml:space="preserve"> and Cultural</w:t>
      </w:r>
      <w:r>
        <w:t xml:space="preserve"> Hub at the intersection of Plummer Street and Bridge Street</w:t>
      </w:r>
      <w:r w:rsidR="00230208">
        <w:t xml:space="preserve"> could</w:t>
      </w:r>
      <w:r>
        <w:t xml:space="preserve"> </w:t>
      </w:r>
      <w:r w:rsidR="003E00E5">
        <w:t xml:space="preserve">achieve </w:t>
      </w:r>
      <w:r>
        <w:t xml:space="preserve">multiple objectives with </w:t>
      </w:r>
      <w:r w:rsidR="00230208">
        <w:t>‘</w:t>
      </w:r>
      <w:r>
        <w:t>one move</w:t>
      </w:r>
      <w:r w:rsidR="00230208">
        <w:t>’, because it would obviate</w:t>
      </w:r>
      <w:r>
        <w:t xml:space="preserve"> the need for multiple land acquisitions.  It also </w:t>
      </w:r>
      <w:r w:rsidR="00230208">
        <w:t xml:space="preserve">said that locating the </w:t>
      </w:r>
      <w:r>
        <w:t xml:space="preserve">hub directly adjacent to open space, </w:t>
      </w:r>
      <w:r w:rsidR="00230208">
        <w:t>would create</w:t>
      </w:r>
      <w:r>
        <w:t xml:space="preserve"> an important landmark vista down</w:t>
      </w:r>
      <w:r w:rsidR="00230208">
        <w:t xml:space="preserve"> the realigned Plummer Street.</w:t>
      </w:r>
    </w:p>
    <w:p w:rsidR="00125E7B" w:rsidRPr="00125E7B" w:rsidRDefault="00125E7B" w:rsidP="007E6A3F">
      <w:pPr>
        <w:pStyle w:val="Heading5"/>
      </w:pPr>
      <w:r>
        <w:t>Educa</w:t>
      </w:r>
      <w:r w:rsidR="004D650A">
        <w:t>tion and community hub</w:t>
      </w:r>
    </w:p>
    <w:p w:rsidR="008C11CA" w:rsidRDefault="008C11CA" w:rsidP="008C11CA">
      <w:pPr>
        <w:pStyle w:val="PPVBody"/>
      </w:pPr>
      <w:r>
        <w:t xml:space="preserve">Port Phillip submitted that the Education and </w:t>
      </w:r>
      <w:r w:rsidR="00BA473B">
        <w:t>c</w:t>
      </w:r>
      <w:r>
        <w:t xml:space="preserve">ommunity </w:t>
      </w:r>
      <w:r w:rsidR="00BA473B">
        <w:t>h</w:t>
      </w:r>
      <w:r>
        <w:t>ub (Primary School) should be a P-12 combined primary and secondary school.</w:t>
      </w:r>
    </w:p>
    <w:p w:rsidR="008C11CA" w:rsidRDefault="008C11CA" w:rsidP="008C11CA">
      <w:r>
        <w:t xml:space="preserve">The Minister </w:t>
      </w:r>
      <w:r w:rsidR="00FD731E">
        <w:t xml:space="preserve">did </w:t>
      </w:r>
      <w:r>
        <w:t xml:space="preserve">not agree.  Reference is made to SIN 9 (Document 151) which outlines the Minister’s response to the </w:t>
      </w:r>
      <w:r w:rsidR="00F2703B">
        <w:t>Port Phillip’s</w:t>
      </w:r>
      <w:r>
        <w:t xml:space="preserve"> submissions regarding community infrastructure.</w:t>
      </w:r>
    </w:p>
    <w:p w:rsidR="008C11CA" w:rsidRDefault="008C11CA" w:rsidP="008C11CA">
      <w:r>
        <w:t>Specifically, the Minister submitted that unless and until the Department of Education identifies the need for another secondary school, it is not appropriate to require this outcome.</w:t>
      </w:r>
    </w:p>
    <w:p w:rsidR="00A462FE" w:rsidRPr="00445060" w:rsidRDefault="00A462FE" w:rsidP="00A462FE">
      <w:pPr>
        <w:pStyle w:val="Heading2"/>
      </w:pPr>
      <w:bookmarkStart w:id="91" w:name="_Toc519848994"/>
      <w:r w:rsidRPr="00445060">
        <w:t>Discussion</w:t>
      </w:r>
      <w:bookmarkEnd w:id="91"/>
    </w:p>
    <w:p w:rsidR="00DF38AE" w:rsidRDefault="007E6A3F" w:rsidP="007E6A3F">
      <w:pPr>
        <w:pStyle w:val="PPVBody"/>
      </w:pPr>
      <w:r>
        <w:t>The Review Panel considers that where existing infrastructure can be used to provide or support community facilities, it should be pursued in the first instance to determine whether it is feasible and practical.</w:t>
      </w:r>
    </w:p>
    <w:p w:rsidR="007E6A3F" w:rsidRDefault="007E6A3F" w:rsidP="007E6A3F">
      <w:pPr>
        <w:pStyle w:val="PPVBody"/>
        <w:tabs>
          <w:tab w:val="left" w:pos="4253"/>
        </w:tabs>
      </w:pPr>
      <w:r>
        <w:t xml:space="preserve">The expansion of the North Port Oval and the location of </w:t>
      </w:r>
      <w:r w:rsidR="003E00E5">
        <w:t xml:space="preserve">a Sport and </w:t>
      </w:r>
      <w:r w:rsidR="00BA473B">
        <w:t>r</w:t>
      </w:r>
      <w:r w:rsidR="004D650A">
        <w:t xml:space="preserve">ecreation </w:t>
      </w:r>
      <w:r w:rsidR="00BA473B">
        <w:t>h</w:t>
      </w:r>
      <w:r w:rsidR="004D650A">
        <w:t xml:space="preserve">ub and </w:t>
      </w:r>
      <w:r>
        <w:t>Educatio</w:t>
      </w:r>
      <w:r w:rsidR="003E00E5">
        <w:t xml:space="preserve">n and </w:t>
      </w:r>
      <w:r w:rsidR="00BA473B">
        <w:t>c</w:t>
      </w:r>
      <w:r>
        <w:t xml:space="preserve">ommunity </w:t>
      </w:r>
      <w:r w:rsidR="00BA473B">
        <w:t>h</w:t>
      </w:r>
      <w:r>
        <w:t>ub near the open space is good planning.</w:t>
      </w:r>
    </w:p>
    <w:p w:rsidR="007E6A3F" w:rsidRPr="00960588" w:rsidRDefault="007E6A3F" w:rsidP="007E6A3F">
      <w:pPr>
        <w:pStyle w:val="PPVBody"/>
        <w:tabs>
          <w:tab w:val="left" w:pos="4253"/>
        </w:tabs>
      </w:pPr>
      <w:r>
        <w:t>The Review Panel is comfortable with the broad a</w:t>
      </w:r>
      <w:r w:rsidR="003E00E5">
        <w:t>rea identified for the Art and C</w:t>
      </w:r>
      <w:r>
        <w:t xml:space="preserve">ultural </w:t>
      </w:r>
      <w:r w:rsidR="003E00E5">
        <w:t>H</w:t>
      </w:r>
      <w:r>
        <w:t>ub and notes that it does not preclude Council’s preferred location.</w:t>
      </w:r>
    </w:p>
    <w:p w:rsidR="007E6A3F" w:rsidRPr="00960588" w:rsidRDefault="007E6A3F" w:rsidP="007E6A3F">
      <w:pPr>
        <w:pStyle w:val="PPVBody"/>
        <w:tabs>
          <w:tab w:val="left" w:pos="4253"/>
        </w:tabs>
      </w:pPr>
      <w:r>
        <w:t xml:space="preserve">The Review Panel is not convinced that there is an </w:t>
      </w:r>
      <w:r w:rsidR="00410700">
        <w:t>‘</w:t>
      </w:r>
      <w:r>
        <w:t>undeniable order and logic</w:t>
      </w:r>
      <w:r w:rsidR="00410700">
        <w:t>’</w:t>
      </w:r>
      <w:r>
        <w:t xml:space="preserve"> in using a Health and </w:t>
      </w:r>
      <w:r w:rsidR="003E00E5">
        <w:t>W</w:t>
      </w:r>
      <w:r>
        <w:t xml:space="preserve">ellbeing </w:t>
      </w:r>
      <w:r w:rsidR="003E00E5">
        <w:t>H</w:t>
      </w:r>
      <w:r>
        <w:t xml:space="preserve">ub to ‘anchor’ </w:t>
      </w:r>
      <w:r w:rsidR="00BF77EF">
        <w:t>one</w:t>
      </w:r>
      <w:r>
        <w:t xml:space="preserve"> end of a green spine along Bertie Street.  In the absence of any clear understanding of the role and design</w:t>
      </w:r>
      <w:r w:rsidR="003E00E5">
        <w:t xml:space="preserve"> constraints of the Health and W</w:t>
      </w:r>
      <w:r>
        <w:t>ell</w:t>
      </w:r>
      <w:r w:rsidR="003E00E5">
        <w:t>being H</w:t>
      </w:r>
      <w:r>
        <w:t>ub it would be premature to conclude that Council’s location is superior to a location in Wirraway.</w:t>
      </w:r>
    </w:p>
    <w:p w:rsidR="00A462FE" w:rsidRDefault="007E6A3F" w:rsidP="00A462FE">
      <w:pPr>
        <w:pStyle w:val="PPVBody"/>
      </w:pPr>
      <w:r>
        <w:t>The Review Panel agrees until the Department of Education identifies the need for another secondary school, it is not appropriate to require this outcome.</w:t>
      </w:r>
    </w:p>
    <w:p w:rsidR="008A083A" w:rsidRDefault="00A462FE" w:rsidP="00A462FE">
      <w:pPr>
        <w:pStyle w:val="Heading2"/>
      </w:pPr>
      <w:bookmarkStart w:id="92" w:name="_Toc519848995"/>
      <w:r>
        <w:t>Findings and recommendations</w:t>
      </w:r>
      <w:bookmarkEnd w:id="92"/>
    </w:p>
    <w:p w:rsidR="00A462FE" w:rsidRDefault="00A462FE" w:rsidP="00A462FE">
      <w:pPr>
        <w:pStyle w:val="PPVBody"/>
      </w:pPr>
      <w:r>
        <w:t>The Review Panel finds:</w:t>
      </w:r>
    </w:p>
    <w:p w:rsidR="00A462FE" w:rsidRDefault="00F2703B" w:rsidP="0054678B">
      <w:pPr>
        <w:pStyle w:val="PPVBullet1"/>
      </w:pPr>
      <w:bookmarkStart w:id="93" w:name="_Toc519779801"/>
      <w:r>
        <w:t>the pro</w:t>
      </w:r>
      <w:r w:rsidR="001C59F5">
        <w:t>pos</w:t>
      </w:r>
      <w:r>
        <w:t xml:space="preserve">ed locations of the community hubs </w:t>
      </w:r>
      <w:r w:rsidR="0011148F">
        <w:t>are</w:t>
      </w:r>
      <w:r>
        <w:t xml:space="preserve"> appropriate.</w:t>
      </w:r>
      <w:bookmarkEnd w:id="93"/>
    </w:p>
    <w:p w:rsidR="00A15899" w:rsidRDefault="00A15899" w:rsidP="006D35B9">
      <w:pPr>
        <w:pStyle w:val="Heading1"/>
      </w:pPr>
      <w:bookmarkStart w:id="94" w:name="_Toc518890513"/>
      <w:bookmarkStart w:id="95" w:name="_Toc519848996"/>
      <w:r>
        <w:t>Roads and transport infrastructure</w:t>
      </w:r>
      <w:bookmarkEnd w:id="94"/>
      <w:bookmarkEnd w:id="95"/>
    </w:p>
    <w:p w:rsidR="006D35B9" w:rsidRDefault="00A15899" w:rsidP="00A15899">
      <w:pPr>
        <w:pStyle w:val="Heading2"/>
      </w:pPr>
      <w:bookmarkStart w:id="96" w:name="_Toc518890514"/>
      <w:bookmarkStart w:id="97" w:name="_Toc519848997"/>
      <w:r>
        <w:t>Context</w:t>
      </w:r>
      <w:bookmarkEnd w:id="96"/>
      <w:bookmarkEnd w:id="97"/>
    </w:p>
    <w:p w:rsidR="00A15899" w:rsidRDefault="00A15899" w:rsidP="00A15899">
      <w:pPr>
        <w:pStyle w:val="PPVBody"/>
      </w:pPr>
      <w:r>
        <w:t>A number of new streets and laneways are proposed to transform the industrial scale blocks into a walkable neighbourhood.  The Fennel Street</w:t>
      </w:r>
      <w:r w:rsidR="00FF1251">
        <w:t>–</w:t>
      </w:r>
      <w:r>
        <w:t>Plummer Street civic spine provides a strategic cycling corridor and a proposed public transport route accommodating a tram line and a potential future Metro Rail alignment.  Enhanced bus routes and services are also proposed.  A well-spaced collector road network is formed by:</w:t>
      </w:r>
    </w:p>
    <w:p w:rsidR="00A15899" w:rsidRDefault="00A15899" w:rsidP="00A15899">
      <w:pPr>
        <w:pStyle w:val="PPVBullet1"/>
      </w:pPr>
      <w:r>
        <w:t>Ingles Street</w:t>
      </w:r>
    </w:p>
    <w:p w:rsidR="00A15899" w:rsidRDefault="00A15899" w:rsidP="00A15899">
      <w:pPr>
        <w:pStyle w:val="PPVBullet1"/>
      </w:pPr>
      <w:r>
        <w:t>Bridge Street</w:t>
      </w:r>
    </w:p>
    <w:p w:rsidR="00A15899" w:rsidRDefault="00A15899" w:rsidP="00A15899">
      <w:pPr>
        <w:pStyle w:val="PPVBullet1"/>
      </w:pPr>
      <w:r>
        <w:t>Graham Street</w:t>
      </w:r>
    </w:p>
    <w:p w:rsidR="00A15899" w:rsidRDefault="00A15899" w:rsidP="00A15899">
      <w:pPr>
        <w:pStyle w:val="PPVBullet1"/>
      </w:pPr>
      <w:r>
        <w:t xml:space="preserve">proposed </w:t>
      </w:r>
      <w:r w:rsidR="0007485C">
        <w:t>east–</w:t>
      </w:r>
      <w:r>
        <w:t>west roads each side of Fennel Street</w:t>
      </w:r>
      <w:r w:rsidR="0007485C">
        <w:t>–</w:t>
      </w:r>
      <w:r>
        <w:t>Plummer Street civic spine</w:t>
      </w:r>
      <w:r w:rsidR="006D35B9">
        <w:t>.</w:t>
      </w:r>
    </w:p>
    <w:p w:rsidR="006D35B9" w:rsidRDefault="00A15899" w:rsidP="00A15899">
      <w:pPr>
        <w:pStyle w:val="PPVBody"/>
      </w:pPr>
      <w:r>
        <w:t>Mr Kiriakidis, Mr Fook</w:t>
      </w:r>
      <w:r w:rsidR="00FA52FF">
        <w:t xml:space="preserve">s, </w:t>
      </w:r>
      <w:r>
        <w:t xml:space="preserve">Ms Dunstan and Mr Walsh provided high level review of Fishermans Bend transport network.  Ms Dunstan and Mr Walsh </w:t>
      </w:r>
      <w:r w:rsidR="00FA52FF">
        <w:t>also</w:t>
      </w:r>
      <w:r>
        <w:t xml:space="preserve"> provided site specific expert traffic evidence for developers and land owners.</w:t>
      </w:r>
    </w:p>
    <w:p w:rsidR="00A15899" w:rsidRDefault="00A15899" w:rsidP="00A15899">
      <w:pPr>
        <w:pStyle w:val="PPVBody"/>
      </w:pPr>
      <w:r>
        <w:t>The majority of roads and transport infrastructure issues centred around more site specific roads and laneway locations.</w:t>
      </w:r>
      <w:r w:rsidR="00CA660F">
        <w:t xml:space="preserve">  </w:t>
      </w:r>
      <w:r>
        <w:t>The key issues are:</w:t>
      </w:r>
    </w:p>
    <w:p w:rsidR="00BF77EF" w:rsidRDefault="00BF77EF" w:rsidP="00BF77EF">
      <w:pPr>
        <w:pStyle w:val="PPVBullet1"/>
      </w:pPr>
      <w:r>
        <w:t>new roads south of Fennel Street</w:t>
      </w:r>
    </w:p>
    <w:p w:rsidR="00BF77EF" w:rsidRDefault="00BF77EF" w:rsidP="00BF77EF">
      <w:pPr>
        <w:pStyle w:val="PPVBullet1"/>
      </w:pPr>
      <w:r>
        <w:t xml:space="preserve">closing the southern end of Bertie </w:t>
      </w:r>
      <w:r w:rsidR="00BA473B">
        <w:t>S</w:t>
      </w:r>
      <w:r>
        <w:t>treet</w:t>
      </w:r>
    </w:p>
    <w:p w:rsidR="00BF77EF" w:rsidRDefault="00EC0EB0" w:rsidP="00BF77EF">
      <w:pPr>
        <w:pStyle w:val="PPVBullet1"/>
      </w:pPr>
      <w:r>
        <w:t>modified</w:t>
      </w:r>
      <w:r w:rsidR="00BF77EF">
        <w:t xml:space="preserve"> and </w:t>
      </w:r>
      <w:r>
        <w:t>additional</w:t>
      </w:r>
      <w:r w:rsidR="00BF77EF">
        <w:t xml:space="preserve"> laneways.</w:t>
      </w:r>
    </w:p>
    <w:p w:rsidR="00A15899" w:rsidRPr="00E121C1" w:rsidRDefault="00A15899" w:rsidP="00E768D7">
      <w:pPr>
        <w:pStyle w:val="Heading2"/>
      </w:pPr>
      <w:bookmarkStart w:id="98" w:name="_Toc519848998"/>
      <w:r w:rsidRPr="00E121C1">
        <w:t xml:space="preserve">New </w:t>
      </w:r>
      <w:r w:rsidR="00BF77EF">
        <w:t>r</w:t>
      </w:r>
      <w:r w:rsidRPr="00E121C1">
        <w:t xml:space="preserve">oads </w:t>
      </w:r>
      <w:r w:rsidR="00BF77EF">
        <w:t>s</w:t>
      </w:r>
      <w:r w:rsidRPr="00E121C1">
        <w:t>outh of Fennell Street</w:t>
      </w:r>
      <w:bookmarkEnd w:id="98"/>
    </w:p>
    <w:p w:rsidR="00CD344E" w:rsidRDefault="00CD344E" w:rsidP="00CD344E">
      <w:pPr>
        <w:pStyle w:val="Heading4"/>
      </w:pPr>
      <w:r>
        <w:t>Submissions and evidence</w:t>
      </w:r>
    </w:p>
    <w:p w:rsidR="00CA660F" w:rsidRDefault="00CD344E" w:rsidP="00CA660F">
      <w:pPr>
        <w:pStyle w:val="PPVBody"/>
      </w:pPr>
      <w:r>
        <w:t xml:space="preserve">Port Phillip submitted that the </w:t>
      </w:r>
      <w:r w:rsidR="00D80E24">
        <w:t xml:space="preserve">draft Amendment </w:t>
      </w:r>
      <w:r>
        <w:t xml:space="preserve">should be </w:t>
      </w:r>
      <w:r w:rsidR="002966BA">
        <w:t>changed</w:t>
      </w:r>
      <w:r w:rsidR="00D80E24">
        <w:t xml:space="preserve"> to include an additional </w:t>
      </w:r>
      <w:r w:rsidR="00682038">
        <w:t>22 metre wide road</w:t>
      </w:r>
      <w:r>
        <w:t xml:space="preserve"> in the Sandridge </w:t>
      </w:r>
      <w:r w:rsidR="00BA473B">
        <w:t>c</w:t>
      </w:r>
      <w:r>
        <w:t xml:space="preserve">ore, as shown in </w:t>
      </w:r>
      <w:r>
        <w:fldChar w:fldCharType="begin"/>
      </w:r>
      <w:r>
        <w:instrText xml:space="preserve"> REF _Ref518485277 \h </w:instrText>
      </w:r>
      <w:r>
        <w:fldChar w:fldCharType="separate"/>
      </w:r>
      <w:r w:rsidR="00AA0E65">
        <w:t xml:space="preserve">Figure </w:t>
      </w:r>
      <w:r w:rsidR="00AA0E65">
        <w:rPr>
          <w:noProof/>
        </w:rPr>
        <w:t>9</w:t>
      </w:r>
      <w:r>
        <w:fldChar w:fldCharType="end"/>
      </w:r>
      <w:r>
        <w:t>.  This was based on its analysis that the block size was too large in this area.</w:t>
      </w:r>
    </w:p>
    <w:p w:rsidR="00CA660F" w:rsidRDefault="00CA660F" w:rsidP="00CA660F">
      <w:pPr>
        <w:pStyle w:val="PPVBody"/>
      </w:pPr>
      <w:r>
        <w:rPr>
          <w:rFonts w:asciiTheme="minorHAnsi" w:hAnsiTheme="minorHAnsi"/>
        </w:rPr>
        <w:t xml:space="preserve">The Minister (DS37) generally supported this suggestion, to further break up the large allotments, but did not agree with setting the exact location.  </w:t>
      </w:r>
      <w:r>
        <w:t>The Minister submitted that this matter can be resolved when the Precinct Plan is developed.  The Part C controls present this as a road with ‘width subject to precinct planning’.</w:t>
      </w:r>
    </w:p>
    <w:p w:rsidR="00CA660F" w:rsidRDefault="00CA660F" w:rsidP="00CA660F">
      <w:pPr>
        <w:pStyle w:val="PPVBody"/>
        <w:rPr>
          <w:rFonts w:asciiTheme="minorHAnsi" w:hAnsiTheme="minorHAnsi"/>
        </w:rPr>
      </w:pPr>
      <w:r>
        <w:rPr>
          <w:rFonts w:asciiTheme="minorHAnsi" w:hAnsiTheme="minorHAnsi"/>
        </w:rPr>
        <w:t>Port Phillip noted that Mr Sheppard</w:t>
      </w:r>
      <w:r>
        <w:rPr>
          <w:rStyle w:val="FootnoteReference"/>
          <w:rFonts w:asciiTheme="minorHAnsi" w:hAnsiTheme="minorHAnsi"/>
        </w:rPr>
        <w:footnoteReference w:id="11"/>
      </w:r>
      <w:r>
        <w:rPr>
          <w:rFonts w:asciiTheme="minorHAnsi" w:hAnsiTheme="minorHAnsi"/>
        </w:rPr>
        <w:t xml:space="preserve"> also agreed with the need to provide additional local streets in the three very large blocks between Fennell Street and Woodruff Street, and the reorientation of the laneways to generally run perpendicular to Fennell Street to maximise solar orientation and create more versatile city blocks.  Mr Sheppard also supported showing the indicative laneway locations in the controls.</w:t>
      </w:r>
    </w:p>
    <w:p w:rsidR="00CD344E" w:rsidRDefault="00CD344E" w:rsidP="00CD344E">
      <w:pPr>
        <w:pStyle w:val="Caption"/>
      </w:pPr>
      <w:bookmarkStart w:id="99" w:name="_Ref518485277"/>
      <w:bookmarkStart w:id="100" w:name="_Toc519849022"/>
      <w:r>
        <w:t xml:space="preserve">Figure </w:t>
      </w:r>
      <w:r w:rsidR="009271C1">
        <w:rPr>
          <w:noProof/>
        </w:rPr>
        <w:fldChar w:fldCharType="begin"/>
      </w:r>
      <w:r w:rsidR="009271C1">
        <w:rPr>
          <w:noProof/>
        </w:rPr>
        <w:instrText xml:space="preserve"> SEQ Figure \* ARABIC </w:instrText>
      </w:r>
      <w:r w:rsidR="009271C1">
        <w:rPr>
          <w:noProof/>
        </w:rPr>
        <w:fldChar w:fldCharType="separate"/>
      </w:r>
      <w:r w:rsidR="00AA0E65">
        <w:rPr>
          <w:noProof/>
        </w:rPr>
        <w:t>9</w:t>
      </w:r>
      <w:r w:rsidR="009271C1">
        <w:rPr>
          <w:noProof/>
        </w:rPr>
        <w:fldChar w:fldCharType="end"/>
      </w:r>
      <w:bookmarkEnd w:id="99"/>
      <w:r>
        <w:t>:</w:t>
      </w:r>
      <w:r>
        <w:tab/>
        <w:t>New road suggested by Port Philip</w:t>
      </w:r>
      <w:bookmarkEnd w:id="100"/>
    </w:p>
    <w:p w:rsidR="00CD344E" w:rsidRDefault="00CD344E" w:rsidP="00CD344E">
      <w:pPr>
        <w:pStyle w:val="PPVBody"/>
      </w:pPr>
      <w:r w:rsidRPr="003B6F7D">
        <w:rPr>
          <w:noProof/>
        </w:rPr>
        <w:drawing>
          <wp:inline distT="0" distB="0" distL="0" distR="0" wp14:anchorId="159BB039" wp14:editId="10C43647">
            <wp:extent cx="5758180" cy="486742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91" b="3062"/>
                    <a:stretch/>
                  </pic:blipFill>
                  <pic:spPr bwMode="auto">
                    <a:xfrm>
                      <a:off x="0" y="0"/>
                      <a:ext cx="5759450" cy="4868496"/>
                    </a:xfrm>
                    <a:prstGeom prst="rect">
                      <a:avLst/>
                    </a:prstGeom>
                    <a:noFill/>
                    <a:ln>
                      <a:noFill/>
                    </a:ln>
                    <a:extLst>
                      <a:ext uri="{53640926-AAD7-44D8-BBD7-CCE9431645EC}">
                        <a14:shadowObscured xmlns:a14="http://schemas.microsoft.com/office/drawing/2010/main"/>
                      </a:ext>
                    </a:extLst>
                  </pic:spPr>
                </pic:pic>
              </a:graphicData>
            </a:graphic>
          </wp:inline>
        </w:drawing>
      </w:r>
    </w:p>
    <w:p w:rsidR="00CD344E" w:rsidRPr="00BB2317" w:rsidRDefault="00CD344E" w:rsidP="00BB2317">
      <w:pPr>
        <w:pStyle w:val="PPVSource"/>
      </w:pPr>
      <w:r w:rsidRPr="00BB2317">
        <w:t xml:space="preserve">Source: </w:t>
      </w:r>
      <w:r w:rsidR="003C5D56">
        <w:t>City of Port Phillip urban design report (</w:t>
      </w:r>
      <w:r w:rsidRPr="00BB2317">
        <w:t>DS1</w:t>
      </w:r>
      <w:r w:rsidR="003C5D56">
        <w:t>),</w:t>
      </w:r>
      <w:r w:rsidRPr="00BB2317">
        <w:t xml:space="preserve"> Figure 8</w:t>
      </w:r>
    </w:p>
    <w:p w:rsidR="00A15899" w:rsidRDefault="00A15899" w:rsidP="00A15899">
      <w:pPr>
        <w:pStyle w:val="Heading4"/>
      </w:pPr>
      <w:r>
        <w:t>Discussion</w:t>
      </w:r>
    </w:p>
    <w:p w:rsidR="00CA660F" w:rsidRDefault="00DD6A80" w:rsidP="00CA660F">
      <w:pPr>
        <w:pStyle w:val="PPVBody"/>
        <w:rPr>
          <w:rFonts w:asciiTheme="minorHAnsi" w:hAnsiTheme="minorHAnsi"/>
        </w:rPr>
      </w:pPr>
      <w:r>
        <w:t xml:space="preserve">The Review Panel </w:t>
      </w:r>
      <w:r w:rsidR="00576F54">
        <w:t>agrees that the block</w:t>
      </w:r>
      <w:r w:rsidR="00CA660F">
        <w:t>s between Fennell Street and Woodruff Street</w:t>
      </w:r>
      <w:r w:rsidR="00576F54">
        <w:t xml:space="preserve"> will be too </w:t>
      </w:r>
      <w:r>
        <w:t>large</w:t>
      </w:r>
      <w:r w:rsidR="00576F54">
        <w:t xml:space="preserve"> and would benefit from a new road.</w:t>
      </w:r>
      <w:r w:rsidR="00CA660F">
        <w:t xml:space="preserve">  </w:t>
      </w:r>
      <w:r w:rsidR="00CA660F">
        <w:rPr>
          <w:rFonts w:asciiTheme="minorHAnsi" w:hAnsiTheme="minorHAnsi"/>
        </w:rPr>
        <w:t>It considers that the proposed new road segments south of Fennell Street should be shown as ‘indicative’ on plans in the draft Amendment and supports the Minister’s approach in leaving the width undetermined.  It also considers that the exact location does not need to be specified at this stage.</w:t>
      </w:r>
    </w:p>
    <w:p w:rsidR="00CD344E" w:rsidRDefault="00CD344E" w:rsidP="00CD344E">
      <w:pPr>
        <w:pStyle w:val="Heading2"/>
      </w:pPr>
      <w:bookmarkStart w:id="101" w:name="_Toc519848999"/>
      <w:r>
        <w:t>Closing the southern end of Bertie Street</w:t>
      </w:r>
      <w:bookmarkEnd w:id="101"/>
    </w:p>
    <w:p w:rsidR="00CD344E" w:rsidRDefault="00CD344E" w:rsidP="00CD344E">
      <w:pPr>
        <w:pStyle w:val="PPVBody"/>
      </w:pPr>
      <w:r w:rsidRPr="00BE545C">
        <w:t xml:space="preserve">Mr Sheppard recommended </w:t>
      </w:r>
      <w:r>
        <w:t>a review of the merits of closing the</w:t>
      </w:r>
      <w:r w:rsidR="004565C8">
        <w:t xml:space="preserve"> southern end of Bertie Street</w:t>
      </w:r>
      <w:r w:rsidR="00DF7CD8">
        <w:t>, believing that per</w:t>
      </w:r>
      <w:r w:rsidR="00184143">
        <w:t xml:space="preserve">meability for traffic might be </w:t>
      </w:r>
      <w:r w:rsidR="00DF7CD8">
        <w:t>more desirable than open space as it would reduce traffic on other roads.</w:t>
      </w:r>
    </w:p>
    <w:p w:rsidR="00CD344E" w:rsidRDefault="00CD344E" w:rsidP="00CD344E">
      <w:pPr>
        <w:pStyle w:val="PPVBody"/>
      </w:pPr>
      <w:r>
        <w:t>The Minister did</w:t>
      </w:r>
      <w:r w:rsidR="004565C8">
        <w:t xml:space="preserve"> not accept this recommendation</w:t>
      </w:r>
      <w:r w:rsidR="00184143">
        <w:t>.</w:t>
      </w:r>
    </w:p>
    <w:p w:rsidR="00CD344E" w:rsidRDefault="004565C8" w:rsidP="004565C8">
      <w:pPr>
        <w:pStyle w:val="PPVBody"/>
      </w:pPr>
      <w:r>
        <w:t>The Review Panel agrees that t</w:t>
      </w:r>
      <w:r w:rsidR="00CD344E">
        <w:t xml:space="preserve">he closure of Bertie Street is required to facilitate an integrated approach to public open space and community facilities.  The closure of Bertie Street will provide for the expansion of the North Port Oval and connectivity to the proposed Sport and </w:t>
      </w:r>
      <w:r w:rsidR="00BA473B">
        <w:t>r</w:t>
      </w:r>
      <w:r w:rsidR="00CD344E">
        <w:t xml:space="preserve">ecreation </w:t>
      </w:r>
      <w:r w:rsidR="00BA473B">
        <w:t>h</w:t>
      </w:r>
      <w:r w:rsidR="00CD344E">
        <w:t>ub investigation area.</w:t>
      </w:r>
    </w:p>
    <w:p w:rsidR="00A15899" w:rsidRPr="000762BC" w:rsidRDefault="00EC0EB0" w:rsidP="00E768D7">
      <w:pPr>
        <w:pStyle w:val="Heading2"/>
      </w:pPr>
      <w:bookmarkStart w:id="102" w:name="_Toc519849000"/>
      <w:r>
        <w:t xml:space="preserve">Modified and </w:t>
      </w:r>
      <w:r w:rsidR="00A15899">
        <w:t>a</w:t>
      </w:r>
      <w:r w:rsidR="00A15899" w:rsidRPr="000762BC">
        <w:t>dditional laneways</w:t>
      </w:r>
      <w:bookmarkEnd w:id="102"/>
    </w:p>
    <w:p w:rsidR="00684E2A" w:rsidRPr="0034056E" w:rsidRDefault="00684E2A" w:rsidP="00684E2A">
      <w:pPr>
        <w:pStyle w:val="Heading4"/>
      </w:pPr>
      <w:r>
        <w:t>Submissions and evidence</w:t>
      </w:r>
    </w:p>
    <w:p w:rsidR="00684E2A" w:rsidRDefault="00684E2A" w:rsidP="00684E2A">
      <w:pPr>
        <w:pStyle w:val="Heading5"/>
      </w:pPr>
      <w:r>
        <w:t>Laneway width</w:t>
      </w:r>
    </w:p>
    <w:p w:rsidR="00684E2A" w:rsidRDefault="00684E2A" w:rsidP="0054678B">
      <w:pPr>
        <w:pStyle w:val="PPVBody"/>
      </w:pPr>
      <w:r>
        <w:t xml:space="preserve">Port Phillip submitted that </w:t>
      </w:r>
      <w:r w:rsidR="00AE4746">
        <w:t>the DDO</w:t>
      </w:r>
      <w:r>
        <w:t xml:space="preserve"> should be </w:t>
      </w:r>
      <w:r w:rsidR="004565C8">
        <w:t>changed</w:t>
      </w:r>
      <w:r>
        <w:t xml:space="preserve"> to specify a minimum width of </w:t>
      </w:r>
      <w:r w:rsidR="00AE4746">
        <w:t>nine</w:t>
      </w:r>
      <w:r>
        <w:t xml:space="preserve"> metres for lanes in Sandridge.</w:t>
      </w:r>
      <w:r w:rsidR="00CA660F">
        <w:t xml:space="preserve">  </w:t>
      </w:r>
      <w:r>
        <w:t>The Minister did</w:t>
      </w:r>
      <w:r w:rsidR="00AE4746">
        <w:t xml:space="preserve"> not accept this recommendation, stating that i</w:t>
      </w:r>
      <w:r>
        <w:t xml:space="preserve">f lanes are proposed for pedestrian access only, a width of </w:t>
      </w:r>
      <w:r w:rsidR="00AE4746">
        <w:t>nine</w:t>
      </w:r>
      <w:r>
        <w:t xml:space="preserve"> metres may be unnecessary.  </w:t>
      </w:r>
      <w:r w:rsidR="00915FC9">
        <w:t>The Minister also submitted that f</w:t>
      </w:r>
      <w:r>
        <w:t xml:space="preserve">urther consideration of the minimum widths of laneways can occur during the Precinct Plan process when the role and function of each laneway </w:t>
      </w:r>
      <w:r w:rsidR="00DF7CD8">
        <w:t>can be</w:t>
      </w:r>
      <w:r>
        <w:t xml:space="preserve"> determined.</w:t>
      </w:r>
    </w:p>
    <w:p w:rsidR="00684E2A" w:rsidRDefault="00684E2A" w:rsidP="00684E2A">
      <w:pPr>
        <w:pStyle w:val="Heading5"/>
      </w:pPr>
      <w:r>
        <w:t>Laneway location</w:t>
      </w:r>
    </w:p>
    <w:p w:rsidR="00684E2A" w:rsidRDefault="00684E2A" w:rsidP="00684E2A">
      <w:pPr>
        <w:pStyle w:val="PPVBody"/>
      </w:pPr>
      <w:r>
        <w:t>Port Phillip submitted that the</w:t>
      </w:r>
      <w:r w:rsidR="00DF7CD8">
        <w:t xml:space="preserve"> draft Amendment </w:t>
      </w:r>
      <w:r>
        <w:t xml:space="preserve">should be </w:t>
      </w:r>
      <w:r w:rsidR="00DF7CD8">
        <w:t>changed</w:t>
      </w:r>
      <w:r>
        <w:t xml:space="preserve"> to show additional an</w:t>
      </w:r>
      <w:r w:rsidR="007C521F">
        <w:t>d differently oriented laneways</w:t>
      </w:r>
      <w:r>
        <w:t xml:space="preserve"> until further work is undertaken through detailed precinct planning</w:t>
      </w:r>
      <w:r w:rsidR="004742B5">
        <w:t>.</w:t>
      </w:r>
    </w:p>
    <w:p w:rsidR="00684E2A" w:rsidRDefault="00684E2A" w:rsidP="00684E2A">
      <w:r>
        <w:t>The Minister accepted that further work is required regarding the precise location and dimensions of the laneways, and submitted that the work required to finalise the precise location of laneways, their role and character are matters that will be finalised during the Precinct Plan process.</w:t>
      </w:r>
      <w:r w:rsidR="00CA660F">
        <w:t xml:space="preserve">  He </w:t>
      </w:r>
      <w:r>
        <w:t>submitted that laneways should continue to be shown in the maps</w:t>
      </w:r>
      <w:r w:rsidR="00CA660F">
        <w:t>,</w:t>
      </w:r>
      <w:r>
        <w:t xml:space="preserve"> and the Part C version of the </w:t>
      </w:r>
      <w:r w:rsidR="00CA660F">
        <w:t xml:space="preserve">maps </w:t>
      </w:r>
      <w:r>
        <w:t>include</w:t>
      </w:r>
      <w:r w:rsidR="00DF7CD8">
        <w:t>d</w:t>
      </w:r>
      <w:r>
        <w:t xml:space="preserve"> some of the proposed laneway locations as requested by Port Philip,</w:t>
      </w:r>
      <w:r w:rsidR="00DF7CD8">
        <w:t xml:space="preserve"> albeit</w:t>
      </w:r>
      <w:r>
        <w:t xml:space="preserve"> identified as ‘indicative’.</w:t>
      </w:r>
    </w:p>
    <w:p w:rsidR="00CA660F" w:rsidRDefault="00CA660F" w:rsidP="00CA660F">
      <w:pPr>
        <w:pStyle w:val="PPVBody"/>
      </w:pPr>
      <w:r>
        <w:t>Submissions from the Salvo Property Group and CitiPower highlighted that it is important for maps to clearly show the location of various proposed roads and laneways – using ‘indicative’ provides little comfort when parties are well progressed with applications or development ideas.  The Review Panel has recommended use of GIS software to provide greater certainty together with greater detail and clarity for land owners.</w:t>
      </w:r>
    </w:p>
    <w:p w:rsidR="00684E2A" w:rsidRDefault="00684E2A" w:rsidP="00684E2A">
      <w:pPr>
        <w:pStyle w:val="Heading5"/>
      </w:pPr>
      <w:r>
        <w:t>Arcades as well as laneways</w:t>
      </w:r>
    </w:p>
    <w:p w:rsidR="00684E2A" w:rsidRDefault="00684E2A" w:rsidP="00684E2A">
      <w:pPr>
        <w:pStyle w:val="PPVBody"/>
      </w:pPr>
      <w:r>
        <w:t xml:space="preserve">Port Phillip submitted that </w:t>
      </w:r>
      <w:r w:rsidR="00CA660F">
        <w:t xml:space="preserve">Clause </w:t>
      </w:r>
      <w:r w:rsidR="00321D97">
        <w:t xml:space="preserve">22.XX </w:t>
      </w:r>
      <w:r>
        <w:t xml:space="preserve">should </w:t>
      </w:r>
      <w:r w:rsidR="00282BA0">
        <w:t>be changed</w:t>
      </w:r>
      <w:r>
        <w:t xml:space="preserve"> to allow one through block link through buildings per street block in place of an open to the air laneway, where commercial/office development is proposed.</w:t>
      </w:r>
    </w:p>
    <w:p w:rsidR="00684E2A" w:rsidRDefault="00684E2A" w:rsidP="00684E2A">
      <w:r>
        <w:t>The Minister accepted the suggestion of through block links for commercial and office development which are additional to the proposed open air laneways.  This will support additional permeability.  However, the Minister did not agree that through block links should be provided in place of open air laneways because they are not guaranteed to be public and open at all hours. through block links may not be open all hours.</w:t>
      </w:r>
    </w:p>
    <w:p w:rsidR="00A15899" w:rsidRDefault="00A15899" w:rsidP="00A15899">
      <w:pPr>
        <w:pStyle w:val="Heading4"/>
      </w:pPr>
      <w:r>
        <w:t>Discussion</w:t>
      </w:r>
    </w:p>
    <w:p w:rsidR="005E2C62" w:rsidRDefault="00CA660F" w:rsidP="005E2C62">
      <w:pPr>
        <w:pStyle w:val="PPVBody"/>
        <w:rPr>
          <w:rFonts w:asciiTheme="minorHAnsi" w:hAnsiTheme="minorHAnsi"/>
        </w:rPr>
      </w:pPr>
      <w:r w:rsidRPr="008653E1">
        <w:t>The Review Panel does not take issue with the need for a fine grain urban structure but believes that further work is required.</w:t>
      </w:r>
      <w:r>
        <w:t xml:space="preserve">  However, a</w:t>
      </w:r>
      <w:r w:rsidR="00A15899">
        <w:t>s discussed in the Ov</w:t>
      </w:r>
      <w:r w:rsidR="00184143">
        <w:t>erview R</w:t>
      </w:r>
      <w:r w:rsidR="00A15899">
        <w:t xml:space="preserve">eport, the Review Panel recommends that laneways </w:t>
      </w:r>
      <w:r w:rsidR="004565C8">
        <w:t>only</w:t>
      </w:r>
      <w:r w:rsidR="00A15899">
        <w:t xml:space="preserve"> be shown </w:t>
      </w:r>
      <w:r>
        <w:t xml:space="preserve">at this stage </w:t>
      </w:r>
      <w:r w:rsidR="00A15899">
        <w:t xml:space="preserve">if they are essential for vehicle access, such as land locked sites or where a road is classified as </w:t>
      </w:r>
      <w:r>
        <w:t xml:space="preserve">a </w:t>
      </w:r>
      <w:r w:rsidR="00A15899">
        <w:t>‘no crossover’</w:t>
      </w:r>
      <w:r>
        <w:t xml:space="preserve"> road.  A</w:t>
      </w:r>
      <w:r w:rsidR="00A15899">
        <w:t>ll other laneways</w:t>
      </w:r>
      <w:r w:rsidR="00184143">
        <w:t xml:space="preserve"> should be resolved during the P</w:t>
      </w:r>
      <w:r w:rsidR="00A15899">
        <w:t xml:space="preserve">recinct </w:t>
      </w:r>
      <w:r w:rsidR="00184143">
        <w:t>P</w:t>
      </w:r>
      <w:r w:rsidR="00A15899">
        <w:t>lan phase</w:t>
      </w:r>
      <w:r w:rsidR="005E2C62">
        <w:t xml:space="preserve">, when the road and laneway network can be further refined to resolve </w:t>
      </w:r>
      <w:r w:rsidR="005E2C62">
        <w:rPr>
          <w:rFonts w:asciiTheme="minorHAnsi" w:hAnsiTheme="minorHAnsi"/>
        </w:rPr>
        <w:t>the exact location, width and function of the roads and laneways.</w:t>
      </w:r>
    </w:p>
    <w:p w:rsidR="008653E1" w:rsidRDefault="005D7F3D" w:rsidP="008653E1">
      <w:pPr>
        <w:pStyle w:val="PPVBody"/>
      </w:pPr>
      <w:r>
        <w:t>A</w:t>
      </w:r>
      <w:r w:rsidR="006F5340">
        <w:t xml:space="preserve"> key issue</w:t>
      </w:r>
      <w:r w:rsidR="008653E1">
        <w:t xml:space="preserve"> </w:t>
      </w:r>
      <w:r w:rsidR="006F5340">
        <w:t>in the planning of</w:t>
      </w:r>
      <w:r w:rsidR="008653E1">
        <w:t xml:space="preserve"> the Sandridge Precinct relates to clearly articulating the </w:t>
      </w:r>
      <w:r w:rsidR="006F5340">
        <w:t xml:space="preserve">desired </w:t>
      </w:r>
      <w:r w:rsidR="008653E1">
        <w:t>road and laneway layout</w:t>
      </w:r>
      <w:r w:rsidR="00CA660F">
        <w:t>,</w:t>
      </w:r>
      <w:r w:rsidR="006F5340">
        <w:t xml:space="preserve"> balancing access</w:t>
      </w:r>
      <w:r w:rsidR="008653E1">
        <w:t xml:space="preserve"> with the other important elements such as urban realm.  </w:t>
      </w:r>
      <w:r w:rsidR="007C521F">
        <w:t>A</w:t>
      </w:r>
      <w:r w:rsidR="008653E1">
        <w:t xml:space="preserve"> road or laneway may not be required ex</w:t>
      </w:r>
      <w:r w:rsidR="007C521F">
        <w:t>plicitly for traffic purposes; but can serve</w:t>
      </w:r>
      <w:r w:rsidR="008653E1">
        <w:t xml:space="preserve"> other functions in </w:t>
      </w:r>
      <w:r w:rsidR="007C521F">
        <w:t>relation to</w:t>
      </w:r>
      <w:r w:rsidR="008653E1">
        <w:t xml:space="preserve"> urban realm, permeability, street activation and</w:t>
      </w:r>
      <w:r w:rsidR="007C521F">
        <w:t>,</w:t>
      </w:r>
      <w:r w:rsidR="008653E1">
        <w:t xml:space="preserve"> where the road reservation </w:t>
      </w:r>
      <w:r w:rsidR="007C521F">
        <w:t>is sufficiently wide, functions related to</w:t>
      </w:r>
      <w:r w:rsidR="008653E1">
        <w:t xml:space="preserve"> built form, building separation and street wall height controls.</w:t>
      </w:r>
    </w:p>
    <w:p w:rsidR="004565C8" w:rsidRDefault="004565C8" w:rsidP="004565C8">
      <w:pPr>
        <w:pStyle w:val="PPVBody"/>
        <w:rPr>
          <w:rFonts w:asciiTheme="minorHAnsi" w:hAnsiTheme="minorHAnsi"/>
        </w:rPr>
      </w:pPr>
      <w:r w:rsidRPr="008653E1">
        <w:rPr>
          <w:rFonts w:asciiTheme="minorHAnsi" w:hAnsiTheme="minorHAnsi"/>
        </w:rPr>
        <w:t>The Review Panel also supports through block links for commercial and office developments which are additional to the proposed open air laneways as this will enhance permeability.  These links can be further considered as part of the permit process for specific sites.</w:t>
      </w:r>
    </w:p>
    <w:p w:rsidR="00B50AB2" w:rsidRDefault="00B50AB2" w:rsidP="00B50AB2">
      <w:pPr>
        <w:pStyle w:val="Heading2"/>
      </w:pPr>
      <w:bookmarkStart w:id="103" w:name="_Toc519849001"/>
      <w:r>
        <w:t>Finding and recommendations</w:t>
      </w:r>
      <w:bookmarkEnd w:id="103"/>
    </w:p>
    <w:p w:rsidR="00B50AB2" w:rsidRDefault="00B50AB2" w:rsidP="00B50AB2">
      <w:pPr>
        <w:pStyle w:val="Heading4"/>
      </w:pPr>
      <w:r>
        <w:t>Findings</w:t>
      </w:r>
    </w:p>
    <w:p w:rsidR="00B50AB2" w:rsidRDefault="00B50AB2" w:rsidP="00B50AB2">
      <w:pPr>
        <w:pStyle w:val="PPVBody"/>
      </w:pPr>
      <w:r>
        <w:t>The Review Panel finds:</w:t>
      </w:r>
    </w:p>
    <w:p w:rsidR="00B50AB2" w:rsidRPr="00E121C1" w:rsidRDefault="005E2C62" w:rsidP="0054678B">
      <w:pPr>
        <w:pStyle w:val="PPVBullet1"/>
      </w:pPr>
      <w:bookmarkStart w:id="104" w:name="_Toc519779802"/>
      <w:r>
        <w:t>T</w:t>
      </w:r>
      <w:r w:rsidR="00B50AB2">
        <w:t>he three proposed road segments south of Fennell Street between Bridge Street and Boundary Street are required to break up the large allotments</w:t>
      </w:r>
      <w:bookmarkEnd w:id="104"/>
      <w:r>
        <w:t>.</w:t>
      </w:r>
    </w:p>
    <w:p w:rsidR="00B50AB2" w:rsidRDefault="005E2C62" w:rsidP="0054678B">
      <w:pPr>
        <w:pStyle w:val="PPVBullet1"/>
      </w:pPr>
      <w:bookmarkStart w:id="105" w:name="_Toc519779803"/>
      <w:r>
        <w:t xml:space="preserve">The </w:t>
      </w:r>
      <w:r w:rsidR="00B50AB2">
        <w:t xml:space="preserve">exact location of street alignment can be resolved as part of the Precinct </w:t>
      </w:r>
      <w:r w:rsidR="00BA473B">
        <w:t>P</w:t>
      </w:r>
      <w:r w:rsidR="00B50AB2">
        <w:t>lan phase</w:t>
      </w:r>
      <w:bookmarkEnd w:id="105"/>
      <w:r>
        <w:t>.</w:t>
      </w:r>
    </w:p>
    <w:p w:rsidR="00B50AB2" w:rsidRDefault="005E2C62" w:rsidP="0054678B">
      <w:pPr>
        <w:pStyle w:val="PPVBullet1"/>
      </w:pPr>
      <w:r>
        <w:t>C</w:t>
      </w:r>
      <w:r w:rsidR="00B50AB2">
        <w:t xml:space="preserve">losing Bertie Street </w:t>
      </w:r>
      <w:r w:rsidR="00310408">
        <w:t>is a positive initiative that should be progressed</w:t>
      </w:r>
      <w:r>
        <w:t>.</w:t>
      </w:r>
    </w:p>
    <w:p w:rsidR="003F26E4" w:rsidRPr="00B50AB2" w:rsidRDefault="005E2C62" w:rsidP="0054678B">
      <w:pPr>
        <w:pStyle w:val="PPVBullet1"/>
      </w:pPr>
      <w:bookmarkStart w:id="106" w:name="_Toc519779804"/>
      <w:r>
        <w:t xml:space="preserve">The </w:t>
      </w:r>
      <w:bookmarkStart w:id="107" w:name="_Toc519779805"/>
      <w:bookmarkEnd w:id="106"/>
      <w:r w:rsidR="003F26E4">
        <w:t xml:space="preserve">road and laneway network can be further refined as part of the Precinct </w:t>
      </w:r>
      <w:r w:rsidR="00BA473B">
        <w:t>P</w:t>
      </w:r>
      <w:r w:rsidR="003F26E4">
        <w:t xml:space="preserve">lan process to resolve </w:t>
      </w:r>
      <w:r w:rsidR="003F26E4" w:rsidRPr="0054678B">
        <w:rPr>
          <w:rFonts w:asciiTheme="minorHAnsi" w:hAnsiTheme="minorHAnsi"/>
        </w:rPr>
        <w:t>the exact location, width, function and character</w:t>
      </w:r>
      <w:r>
        <w:rPr>
          <w:rFonts w:asciiTheme="minorHAnsi" w:hAnsiTheme="minorHAnsi"/>
        </w:rPr>
        <w:t xml:space="preserve"> of roads and laneways</w:t>
      </w:r>
      <w:r w:rsidR="003F26E4" w:rsidRPr="005E2C62">
        <w:rPr>
          <w:rFonts w:asciiTheme="minorHAnsi" w:hAnsiTheme="minorHAnsi"/>
        </w:rPr>
        <w:t>.</w:t>
      </w:r>
      <w:bookmarkEnd w:id="107"/>
    </w:p>
    <w:p w:rsidR="00B50AB2" w:rsidRDefault="00B50AB2" w:rsidP="00B50AB2">
      <w:pPr>
        <w:pStyle w:val="PPVBody"/>
      </w:pPr>
      <w:r>
        <w:t>The Review Panel recommends:</w:t>
      </w:r>
    </w:p>
    <w:p w:rsidR="00B50AB2" w:rsidRPr="00B50AB2" w:rsidRDefault="00B50AB2" w:rsidP="00B50AB2">
      <w:pPr>
        <w:pStyle w:val="PPVRecommendation"/>
      </w:pPr>
      <w:bookmarkStart w:id="108" w:name="_Toc519516784"/>
      <w:bookmarkStart w:id="109" w:name="_Toc519519002"/>
      <w:bookmarkStart w:id="110" w:name="_Toc519519193"/>
      <w:bookmarkStart w:id="111" w:name="_Toc519519356"/>
      <w:bookmarkStart w:id="112" w:name="_Toc519519975"/>
      <w:bookmarkStart w:id="113" w:name="_Toc519617092"/>
      <w:bookmarkStart w:id="114" w:name="_Toc519698897"/>
      <w:r>
        <w:t xml:space="preserve">Include the need for three proposed road segments south of Fennell Street </w:t>
      </w:r>
      <w:r>
        <w:rPr>
          <w:rFonts w:asciiTheme="minorHAnsi" w:hAnsiTheme="minorHAnsi"/>
        </w:rPr>
        <w:t>between Bridge Street and Boundary Street in the Capital City Zone maps as an indicative link.</w:t>
      </w:r>
      <w:bookmarkEnd w:id="108"/>
      <w:bookmarkEnd w:id="109"/>
      <w:bookmarkEnd w:id="110"/>
      <w:bookmarkEnd w:id="111"/>
      <w:bookmarkEnd w:id="112"/>
      <w:bookmarkEnd w:id="113"/>
      <w:bookmarkEnd w:id="114"/>
    </w:p>
    <w:p w:rsidR="00612A05" w:rsidRDefault="00444067" w:rsidP="00444067">
      <w:pPr>
        <w:pStyle w:val="Heading1"/>
      </w:pPr>
      <w:bookmarkStart w:id="115" w:name="_Toc519849002"/>
      <w:r>
        <w:t>Site specific issues</w:t>
      </w:r>
      <w:bookmarkEnd w:id="115"/>
    </w:p>
    <w:p w:rsidR="00821A0D" w:rsidRDefault="00821A0D" w:rsidP="00821A0D">
      <w:pPr>
        <w:autoSpaceDE w:val="0"/>
        <w:autoSpaceDN w:val="0"/>
        <w:adjustRightInd w:val="0"/>
        <w:rPr>
          <w:color w:val="000000"/>
        </w:rPr>
      </w:pPr>
      <w:r>
        <w:rPr>
          <w:color w:val="000000"/>
        </w:rPr>
        <w:t>A number of the issues raised by submitters in Sandridge are common to all precincts and addressed in the Overview Report.  If relevant to Sandridge and have broader implications beyond the particular site, they are addressed in earlier chapters of this report.</w:t>
      </w:r>
    </w:p>
    <w:p w:rsidR="00821A0D" w:rsidRPr="00821A0D" w:rsidRDefault="006D1B95" w:rsidP="00821A0D">
      <w:pPr>
        <w:pStyle w:val="PPVBody"/>
      </w:pPr>
      <w:r>
        <w:rPr>
          <w:color w:val="000000"/>
        </w:rPr>
        <w:t xml:space="preserve">Sandridge </w:t>
      </w:r>
      <w:r w:rsidR="00821A0D">
        <w:rPr>
          <w:color w:val="000000"/>
        </w:rPr>
        <w:t xml:space="preserve">submissions have in the first instance been identified where the submitter has indicated the submission relates to this </w:t>
      </w:r>
      <w:r w:rsidR="00BA473B">
        <w:rPr>
          <w:color w:val="000000"/>
        </w:rPr>
        <w:t>P</w:t>
      </w:r>
      <w:r w:rsidR="00821A0D">
        <w:rPr>
          <w:color w:val="000000"/>
        </w:rPr>
        <w:t xml:space="preserve">recinct.  In addition every effort has been made to identify </w:t>
      </w:r>
      <w:r>
        <w:rPr>
          <w:color w:val="000000"/>
        </w:rPr>
        <w:t xml:space="preserve">Sandridge </w:t>
      </w:r>
      <w:r w:rsidR="00821A0D">
        <w:rPr>
          <w:color w:val="000000"/>
        </w:rPr>
        <w:t>related issues raised in other submissions.</w:t>
      </w:r>
    </w:p>
    <w:p w:rsidR="006E0F00" w:rsidRDefault="006E0F00" w:rsidP="006E0F00">
      <w:pPr>
        <w:pStyle w:val="Heading2"/>
      </w:pPr>
      <w:bookmarkStart w:id="116" w:name="_Toc519849003"/>
      <w:r w:rsidRPr="000B3099">
        <w:t>277 – 281 Ingles Street, Port Melbourne</w:t>
      </w:r>
      <w:bookmarkEnd w:id="116"/>
    </w:p>
    <w:p w:rsidR="009F3FF0" w:rsidRDefault="009F3FF0" w:rsidP="009F3FF0">
      <w:pPr>
        <w:pStyle w:val="PPVBody"/>
      </w:pPr>
      <w:r>
        <w:t xml:space="preserve">Mr Walsh submitted traffic evidence for </w:t>
      </w:r>
      <w:r w:rsidR="006201FF">
        <w:t>277</w:t>
      </w:r>
      <w:r w:rsidR="00092ADF">
        <w:t xml:space="preserve"> </w:t>
      </w:r>
      <w:r w:rsidR="006201FF">
        <w:t>–</w:t>
      </w:r>
      <w:r w:rsidR="00092ADF">
        <w:t xml:space="preserve"> </w:t>
      </w:r>
      <w:r w:rsidRPr="00387A2E">
        <w:t>281 Ingles Street, Port Melbourne</w:t>
      </w:r>
      <w:r>
        <w:t>.</w:t>
      </w:r>
    </w:p>
    <w:p w:rsidR="009F3FF0" w:rsidRDefault="004C7ED3" w:rsidP="009F3FF0">
      <w:pPr>
        <w:pStyle w:val="PPVBody"/>
      </w:pPr>
      <w:r>
        <w:t>A</w:t>
      </w:r>
      <w:r w:rsidR="009F3FF0">
        <w:t xml:space="preserve">pplication plans lodged with the Department and </w:t>
      </w:r>
      <w:r w:rsidR="005E2C62">
        <w:t xml:space="preserve">Port Phillip </w:t>
      </w:r>
      <w:r w:rsidR="009F3FF0">
        <w:t xml:space="preserve">contemplate the proposed road as shown in the </w:t>
      </w:r>
      <w:r w:rsidR="00092ADF">
        <w:t xml:space="preserve">draft </w:t>
      </w:r>
      <w:r w:rsidR="009F3FF0">
        <w:t xml:space="preserve">Framework.  </w:t>
      </w:r>
      <w:r w:rsidR="00092ADF">
        <w:t>It was submitted that because this</w:t>
      </w:r>
      <w:r w:rsidR="009F3FF0">
        <w:t xml:space="preserve"> road terminates at </w:t>
      </w:r>
      <w:r w:rsidR="005E2C62">
        <w:t xml:space="preserve">the </w:t>
      </w:r>
      <w:r w:rsidR="009F3FF0">
        <w:t xml:space="preserve">Ingles Street bridge, </w:t>
      </w:r>
      <w:r w:rsidR="00092ADF">
        <w:t xml:space="preserve">it </w:t>
      </w:r>
      <w:r w:rsidR="009F3FF0">
        <w:t xml:space="preserve">provides limited vehicular access to the broader network, </w:t>
      </w:r>
      <w:r w:rsidR="00092ADF">
        <w:t xml:space="preserve">and that </w:t>
      </w:r>
      <w:r w:rsidR="009F3FF0">
        <w:t>the exact location of the new road and laneways across the site does not need to be prescribed at this time.</w:t>
      </w:r>
    </w:p>
    <w:p w:rsidR="009F3FF0" w:rsidRDefault="009F3FF0" w:rsidP="009F3FF0">
      <w:pPr>
        <w:pStyle w:val="PPVBody"/>
      </w:pPr>
      <w:r>
        <w:t xml:space="preserve">Mr Walsh noted that Ingles Street is a </w:t>
      </w:r>
      <w:r w:rsidR="006201FF">
        <w:t>strategic cycling corridor</w:t>
      </w:r>
      <w:r>
        <w:t>.  However</w:t>
      </w:r>
      <w:r w:rsidR="00092ADF">
        <w:t>,</w:t>
      </w:r>
      <w:r>
        <w:t xml:space="preserve"> the Ingles Street service road</w:t>
      </w:r>
      <w:r w:rsidR="00047E6A">
        <w:t>,</w:t>
      </w:r>
      <w:r>
        <w:t xml:space="preserve"> parallel to the bridge could still have vehicle crossings as local vehicle access is effectively separated from the bicycle lanes.  As such, this section of Ingles Stree</w:t>
      </w:r>
      <w:r w:rsidR="004C7ED3">
        <w:t>t could accommodate crossovers.</w:t>
      </w:r>
      <w:r w:rsidR="004C7ED3">
        <w:rPr>
          <w:rStyle w:val="FootnoteReference"/>
        </w:rPr>
        <w:footnoteReference w:id="12"/>
      </w:r>
    </w:p>
    <w:p w:rsidR="009A496E" w:rsidRDefault="009A496E" w:rsidP="009A496E">
      <w:pPr>
        <w:pStyle w:val="PPVBody"/>
      </w:pPr>
      <w:r>
        <w:t xml:space="preserve">The Review Panel </w:t>
      </w:r>
      <w:r w:rsidR="00092ADF">
        <w:t>agrees</w:t>
      </w:r>
      <w:r>
        <w:t xml:space="preserve"> with Mr Walsh </w:t>
      </w:r>
      <w:r w:rsidR="005E2C62">
        <w:t xml:space="preserve">that </w:t>
      </w:r>
      <w:r>
        <w:t>the ‘no crossover’ should not apply to the Ingles Street service roads</w:t>
      </w:r>
      <w:r w:rsidR="005E2C62">
        <w:t>,</w:t>
      </w:r>
      <w:r>
        <w:t xml:space="preserve"> as the presence of the bridge will separate the strategic cycling corridor along Ingles Street.</w:t>
      </w:r>
    </w:p>
    <w:p w:rsidR="006201FF" w:rsidRDefault="003B7E49" w:rsidP="009A496E">
      <w:pPr>
        <w:pStyle w:val="PPVBody"/>
      </w:pPr>
      <w:r>
        <w:t>The Review Panel recommends:</w:t>
      </w:r>
    </w:p>
    <w:p w:rsidR="003B7E49" w:rsidRDefault="00092ADF" w:rsidP="00AC1FF5">
      <w:pPr>
        <w:pStyle w:val="PPVRecommendation"/>
      </w:pPr>
      <w:bookmarkStart w:id="117" w:name="_Toc519516786"/>
      <w:bookmarkStart w:id="118" w:name="_Toc519519004"/>
      <w:bookmarkStart w:id="119" w:name="_Toc519519195"/>
      <w:bookmarkStart w:id="120" w:name="_Toc519519358"/>
      <w:bookmarkStart w:id="121" w:name="_Toc519519977"/>
      <w:bookmarkStart w:id="122" w:name="_Toc519617094"/>
      <w:bookmarkStart w:id="123" w:name="_Toc519698898"/>
      <w:r>
        <w:t xml:space="preserve">Remove the </w:t>
      </w:r>
      <w:r w:rsidR="003B7E49">
        <w:t xml:space="preserve">‘no crossover’ designation from </w:t>
      </w:r>
      <w:r>
        <w:t xml:space="preserve">the </w:t>
      </w:r>
      <w:r w:rsidR="003B7E49">
        <w:t xml:space="preserve">Ingles Street service road </w:t>
      </w:r>
      <w:r>
        <w:t xml:space="preserve">in those locations </w:t>
      </w:r>
      <w:r w:rsidR="003B7E49">
        <w:t xml:space="preserve">where the Ingles Street bridge </w:t>
      </w:r>
      <w:r w:rsidR="00B5031E">
        <w:t>will deliver</w:t>
      </w:r>
      <w:r w:rsidR="003B7E49">
        <w:t xml:space="preserve"> the strategic cycling corridor.</w:t>
      </w:r>
      <w:bookmarkEnd w:id="117"/>
      <w:bookmarkEnd w:id="118"/>
      <w:bookmarkEnd w:id="119"/>
      <w:bookmarkEnd w:id="120"/>
      <w:bookmarkEnd w:id="121"/>
      <w:bookmarkEnd w:id="122"/>
      <w:bookmarkEnd w:id="123"/>
    </w:p>
    <w:p w:rsidR="00444067" w:rsidRDefault="00DF62AD" w:rsidP="00444067">
      <w:pPr>
        <w:pStyle w:val="Heading2"/>
      </w:pPr>
      <w:bookmarkStart w:id="124" w:name="_Toc519849004"/>
      <w:r w:rsidRPr="00666512">
        <w:t>155</w:t>
      </w:r>
      <w:r w:rsidR="008942A6">
        <w:t>, 140 and 61</w:t>
      </w:r>
      <w:r w:rsidRPr="00666512">
        <w:t xml:space="preserve"> Bertie Street</w:t>
      </w:r>
      <w:r>
        <w:t xml:space="preserve"> (</w:t>
      </w:r>
      <w:r w:rsidR="00AB3432">
        <w:t>S220</w:t>
      </w:r>
      <w:r>
        <w:t>)</w:t>
      </w:r>
      <w:bookmarkEnd w:id="124"/>
    </w:p>
    <w:p w:rsidR="00E30E6E" w:rsidRDefault="00E30E6E" w:rsidP="00E30E6E">
      <w:pPr>
        <w:pStyle w:val="PPVBody"/>
      </w:pPr>
      <w:r>
        <w:t xml:space="preserve">Toyota Motor Corporation Australia Limited owns and occupies land in the </w:t>
      </w:r>
      <w:r w:rsidR="003B5FA1">
        <w:t>Sandridge Precinct</w:t>
      </w:r>
      <w:r>
        <w:t>:</w:t>
      </w:r>
    </w:p>
    <w:p w:rsidR="00E30E6E" w:rsidRDefault="00E30E6E" w:rsidP="00E30E6E">
      <w:pPr>
        <w:pStyle w:val="PPVBullet1"/>
      </w:pPr>
      <w:r w:rsidRPr="00666512">
        <w:t xml:space="preserve">155 Bertie Street </w:t>
      </w:r>
      <w:r>
        <w:t>– corporate headquarters</w:t>
      </w:r>
    </w:p>
    <w:p w:rsidR="00E30E6E" w:rsidRDefault="00E30E6E" w:rsidP="00E30E6E">
      <w:pPr>
        <w:pStyle w:val="PPVBullet1"/>
      </w:pPr>
      <w:r w:rsidRPr="00666512">
        <w:t xml:space="preserve">140 Bertie Street </w:t>
      </w:r>
      <w:r>
        <w:t>– car park</w:t>
      </w:r>
    </w:p>
    <w:p w:rsidR="00E30E6E" w:rsidRDefault="00E30E6E" w:rsidP="00E30E6E">
      <w:pPr>
        <w:pStyle w:val="PPVBullet1"/>
      </w:pPr>
      <w:r w:rsidRPr="00666512">
        <w:t xml:space="preserve">61 Bertie Street </w:t>
      </w:r>
      <w:r>
        <w:t xml:space="preserve">– </w:t>
      </w:r>
      <w:r w:rsidRPr="00666512">
        <w:t>Technical, Desi</w:t>
      </w:r>
      <w:r>
        <w:t>gn and Regional Office.</w:t>
      </w:r>
    </w:p>
    <w:p w:rsidR="00DF38AE" w:rsidRDefault="00E30E6E" w:rsidP="006E0F00">
      <w:pPr>
        <w:pStyle w:val="PPVBody"/>
      </w:pPr>
      <w:r>
        <w:t>Toyota</w:t>
      </w:r>
      <w:r w:rsidR="006E0F00">
        <w:t xml:space="preserve"> submitted that, if the </w:t>
      </w:r>
      <w:r w:rsidR="001F233D">
        <w:t xml:space="preserve">draft </w:t>
      </w:r>
      <w:r w:rsidR="006E0F00">
        <w:t>Amendment is to proceed, aspects of the controls need to be changed.</w:t>
      </w:r>
      <w:r w:rsidR="005E2C62">
        <w:t xml:space="preserve">  </w:t>
      </w:r>
      <w:r w:rsidR="006E0F00">
        <w:t xml:space="preserve">Toyota's </w:t>
      </w:r>
      <w:r>
        <w:t xml:space="preserve">site specific </w:t>
      </w:r>
      <w:r w:rsidR="006E0F00">
        <w:t>concerns are:</w:t>
      </w:r>
    </w:p>
    <w:p w:rsidR="006E0F00" w:rsidRDefault="006201FF" w:rsidP="006201FF">
      <w:pPr>
        <w:pStyle w:val="PPVBullet1"/>
      </w:pPr>
      <w:r>
        <w:t>t</w:t>
      </w:r>
      <w:r w:rsidR="006E0F00">
        <w:t>he identification of a roadway through the middle of the site at 155 Bertie Street, including through the middle of its headquarters</w:t>
      </w:r>
      <w:r>
        <w:t xml:space="preserve"> building</w:t>
      </w:r>
    </w:p>
    <w:p w:rsidR="00E30E6E" w:rsidRDefault="005E2C62" w:rsidP="006201FF">
      <w:pPr>
        <w:pStyle w:val="PPVBullet1"/>
      </w:pPr>
      <w:r>
        <w:t xml:space="preserve">Port Phillip’s </w:t>
      </w:r>
      <w:r w:rsidR="006E0F00">
        <w:t>proposal for public o</w:t>
      </w:r>
      <w:r w:rsidR="00E30E6E">
        <w:t>pen space on 155 Bertie Street</w:t>
      </w:r>
    </w:p>
    <w:p w:rsidR="00E30E6E" w:rsidRDefault="00E30E6E" w:rsidP="006201FF">
      <w:pPr>
        <w:pStyle w:val="PPVBullet1"/>
      </w:pPr>
      <w:r>
        <w:t>t</w:t>
      </w:r>
      <w:r w:rsidR="006E0F00">
        <w:t>he designation of core and non-cor</w:t>
      </w:r>
      <w:r>
        <w:t>e areas over 155 Bertie Street.</w:t>
      </w:r>
    </w:p>
    <w:p w:rsidR="009F3FF0" w:rsidRDefault="009F3FF0" w:rsidP="009F3FF0">
      <w:pPr>
        <w:pStyle w:val="PPVBody"/>
        <w:rPr>
          <w:rFonts w:asciiTheme="minorHAnsi" w:hAnsiTheme="minorHAnsi"/>
        </w:rPr>
      </w:pPr>
      <w:r w:rsidRPr="00666512">
        <w:t xml:space="preserve">Ms </w:t>
      </w:r>
      <w:r>
        <w:t xml:space="preserve">Dunstan </w:t>
      </w:r>
      <w:r w:rsidR="00E30E6E">
        <w:t>gave</w:t>
      </w:r>
      <w:r>
        <w:t xml:space="preserve"> traff</w:t>
      </w:r>
      <w:r w:rsidR="00E30E6E">
        <w:t xml:space="preserve">ic evidence on behalf of Toyota.  </w:t>
      </w:r>
      <w:r>
        <w:t>Many of the road and transport issues associated with the Toyota site are a</w:t>
      </w:r>
      <w:r w:rsidR="002C4BDD">
        <w:t>ddressed in the Overview R</w:t>
      </w:r>
      <w:r w:rsidR="00E30E6E">
        <w:t>eport</w:t>
      </w:r>
      <w:r>
        <w:rPr>
          <w:rFonts w:asciiTheme="minorHAnsi" w:hAnsiTheme="minorHAnsi"/>
        </w:rPr>
        <w:t>.</w:t>
      </w:r>
    </w:p>
    <w:p w:rsidR="009F3FF0" w:rsidRDefault="009F3FF0" w:rsidP="009F3FF0">
      <w:pPr>
        <w:pStyle w:val="PPVBody"/>
      </w:pPr>
      <w:r>
        <w:t xml:space="preserve">The </w:t>
      </w:r>
      <w:r w:rsidR="005A7F51">
        <w:t>site specific</w:t>
      </w:r>
      <w:r>
        <w:t xml:space="preserve"> issue Ms Dunstan identified was the proposed road which bisects the 155 Bertie Street </w:t>
      </w:r>
      <w:r w:rsidR="005E2C62">
        <w:t xml:space="preserve">site.  Her evidence was that the road </w:t>
      </w:r>
      <w:r>
        <w:t xml:space="preserve">should be deleted or alternatively, the controls should apply discretion.  Ms Dunstan agreed </w:t>
      </w:r>
      <w:r w:rsidR="005E2C62">
        <w:t xml:space="preserve">under cross examination by Mr Montebello </w:t>
      </w:r>
      <w:r>
        <w:t xml:space="preserve">that proposed road through the site could be shown as </w:t>
      </w:r>
      <w:r w:rsidR="00E30E6E">
        <w:t>‘</w:t>
      </w:r>
      <w:r>
        <w:t>indicative</w:t>
      </w:r>
      <w:r w:rsidR="00E30E6E">
        <w:t>’</w:t>
      </w:r>
      <w:r>
        <w:t>.</w:t>
      </w:r>
    </w:p>
    <w:p w:rsidR="005E2C62" w:rsidRDefault="005E2C62" w:rsidP="005E2C62">
      <w:pPr>
        <w:pStyle w:val="PPVBody"/>
      </w:pPr>
      <w:r w:rsidRPr="00AB7A29">
        <w:t>Brendan Rogers gave evidence that it would be desirable to allow flexibility for Toyota to masterplan for the future on their 155 Bertie Street site by removing the use of mandatory controls around the proposed road alignment.</w:t>
      </w:r>
    </w:p>
    <w:p w:rsidR="00E30E6E" w:rsidRDefault="00E30E6E" w:rsidP="00E30E6E">
      <w:pPr>
        <w:pStyle w:val="PPVBody"/>
      </w:pPr>
      <w:r>
        <w:t>The Minister submitted that in the event that the existing use ceases, the introduction of a road will add to the permeability of the area, but the location and width of the road can be flexible given it does not line up with another road through t</w:t>
      </w:r>
      <w:r w:rsidR="003B5FA1">
        <w:t>he Precinct</w:t>
      </w:r>
      <w:r>
        <w:t>.</w:t>
      </w:r>
      <w:r w:rsidR="005E2C62" w:rsidRPr="005E2C62">
        <w:t xml:space="preserve"> </w:t>
      </w:r>
      <w:r w:rsidR="005E2C62">
        <w:t>Subject to further refinement, the Minister supported showing this road as ‘indicative’.</w:t>
      </w:r>
    </w:p>
    <w:p w:rsidR="001F233D" w:rsidRDefault="001F233D" w:rsidP="001F233D">
      <w:pPr>
        <w:pStyle w:val="PPVBody"/>
      </w:pPr>
      <w:r>
        <w:t>Toyota is a valuable large-scale business which uses its land for commercial office and headquarter-type operations.  Its future use is directly consistent with the aims for Sandridge.</w:t>
      </w:r>
      <w:r w:rsidRPr="001F233D">
        <w:t xml:space="preserve"> </w:t>
      </w:r>
      <w:r>
        <w:t xml:space="preserve"> While the head office</w:t>
      </w:r>
      <w:r w:rsidR="00CF6454">
        <w:t xml:space="preserve"> </w:t>
      </w:r>
      <w:r>
        <w:t>Toyota site p</w:t>
      </w:r>
      <w:r w:rsidR="00CF6454">
        <w:t>resents long</w:t>
      </w:r>
      <w:r w:rsidR="00FF1251">
        <w:t>-</w:t>
      </w:r>
      <w:r w:rsidR="00CF6454">
        <w:t>term opportunities, it is more valuable in the short to medium-term as an existing employer in the Precinct.</w:t>
      </w:r>
    </w:p>
    <w:p w:rsidR="00AA46EB" w:rsidRDefault="00CF6454" w:rsidP="00AA46EB">
      <w:pPr>
        <w:pStyle w:val="PPVBody"/>
      </w:pPr>
      <w:r>
        <w:t>While</w:t>
      </w:r>
      <w:r w:rsidR="00AA46EB">
        <w:t xml:space="preserve"> the form of development in this location is expected to change ov</w:t>
      </w:r>
      <w:r>
        <w:t>er the longer</w:t>
      </w:r>
      <w:r w:rsidR="00FF1251">
        <w:t xml:space="preserve"> </w:t>
      </w:r>
      <w:r>
        <w:t xml:space="preserve">term time frame, the Review Panel agrees with Port Phillip that </w:t>
      </w:r>
      <w:r w:rsidR="0014301B" w:rsidRPr="0014301B">
        <w:rPr>
          <w:i/>
        </w:rPr>
        <w:t>“No one is going to knock on Toyota’s door and say ‘it’s time to move on’”</w:t>
      </w:r>
      <w:r>
        <w:t>.</w:t>
      </w:r>
      <w:r w:rsidR="002C4BDD">
        <w:rPr>
          <w:rStyle w:val="FootnoteReference"/>
        </w:rPr>
        <w:footnoteReference w:id="13"/>
      </w:r>
    </w:p>
    <w:p w:rsidR="00AA46EB" w:rsidRDefault="00ED3255" w:rsidP="00AA46EB">
      <w:pPr>
        <w:pStyle w:val="PPVBody"/>
      </w:pPr>
      <w:r>
        <w:t>P</w:t>
      </w:r>
      <w:r w:rsidR="00AA46EB">
        <w:t>rovisions that enable reasonable modifications to land to facilitat</w:t>
      </w:r>
      <w:r>
        <w:t>e existing use of land are appropriate</w:t>
      </w:r>
      <w:r w:rsidR="005E2C62">
        <w:t xml:space="preserve">, </w:t>
      </w:r>
      <w:r>
        <w:t xml:space="preserve">and </w:t>
      </w:r>
      <w:r w:rsidR="005E2C62">
        <w:t xml:space="preserve">are contained in </w:t>
      </w:r>
      <w:r>
        <w:t>the Review Panel’s recommended version of the controls</w:t>
      </w:r>
      <w:r w:rsidR="00AA46EB">
        <w:t>.</w:t>
      </w:r>
      <w:r>
        <w:t xml:space="preserve">  Given the road on the Toyota site does not have </w:t>
      </w:r>
      <w:r w:rsidR="005E2C62">
        <w:t xml:space="preserve">a </w:t>
      </w:r>
      <w:r>
        <w:t>stra</w:t>
      </w:r>
      <w:r w:rsidR="00C66AD2">
        <w:t>te</w:t>
      </w:r>
      <w:r>
        <w:t xml:space="preserve">gic transport role </w:t>
      </w:r>
      <w:r w:rsidR="00C66AD2">
        <w:t>it</w:t>
      </w:r>
      <w:r>
        <w:t xml:space="preserve"> is appropriate to show it as </w:t>
      </w:r>
      <w:r w:rsidR="00C66AD2">
        <w:t>‘indicative’.</w:t>
      </w:r>
    </w:p>
    <w:p w:rsidR="005E2C62" w:rsidRDefault="005E2C62" w:rsidP="00AA46EB">
      <w:pPr>
        <w:pStyle w:val="PPVBody"/>
      </w:pPr>
      <w:r>
        <w:t>The Review Panel recommends:</w:t>
      </w:r>
    </w:p>
    <w:p w:rsidR="003B7E49" w:rsidRDefault="00160DB6" w:rsidP="005613CE">
      <w:pPr>
        <w:pStyle w:val="PPVRecommendation"/>
      </w:pPr>
      <w:bookmarkStart w:id="125" w:name="_Toc519516787"/>
      <w:bookmarkStart w:id="126" w:name="_Toc519519005"/>
      <w:bookmarkStart w:id="127" w:name="_Toc519519196"/>
      <w:bookmarkStart w:id="128" w:name="_Toc519519359"/>
      <w:bookmarkStart w:id="129" w:name="_Toc519519978"/>
      <w:bookmarkStart w:id="130" w:name="_Toc519617095"/>
      <w:bookmarkStart w:id="131" w:name="_Toc519698899"/>
      <w:r>
        <w:t xml:space="preserve">Show the </w:t>
      </w:r>
      <w:r w:rsidR="003B7E49">
        <w:t>proposed road through the Toyota site at 155 Bert</w:t>
      </w:r>
      <w:r w:rsidR="003B7E49" w:rsidRPr="003B7E49">
        <w:t>i</w:t>
      </w:r>
      <w:r w:rsidR="003B7E49">
        <w:t>e Street, Port Melbourne as ‘indicative’</w:t>
      </w:r>
      <w:r>
        <w:t>.</w:t>
      </w:r>
      <w:bookmarkEnd w:id="125"/>
      <w:bookmarkEnd w:id="126"/>
      <w:bookmarkEnd w:id="127"/>
      <w:bookmarkEnd w:id="128"/>
      <w:bookmarkEnd w:id="129"/>
      <w:bookmarkEnd w:id="130"/>
      <w:bookmarkEnd w:id="131"/>
    </w:p>
    <w:p w:rsidR="00E24F6A" w:rsidRDefault="009B07D8" w:rsidP="00444067">
      <w:pPr>
        <w:pStyle w:val="Heading2"/>
      </w:pPr>
      <w:bookmarkStart w:id="132" w:name="_Toc519849005"/>
      <w:r>
        <w:t>Plummer Street/</w:t>
      </w:r>
      <w:r w:rsidR="006B3EF6">
        <w:t>Bridge Street intersection (</w:t>
      </w:r>
      <w:r w:rsidR="0094658C">
        <w:t>S180</w:t>
      </w:r>
      <w:r w:rsidR="006B3EF6">
        <w:t>)</w:t>
      </w:r>
      <w:bookmarkEnd w:id="132"/>
    </w:p>
    <w:p w:rsidR="006B5A24" w:rsidRDefault="004D6A47" w:rsidP="006B5A24">
      <w:pPr>
        <w:pStyle w:val="PPVBody"/>
      </w:pPr>
      <w:r>
        <w:t xml:space="preserve">Delta </w:t>
      </w:r>
      <w:r w:rsidR="004745D4">
        <w:t>owns</w:t>
      </w:r>
      <w:r>
        <w:t xml:space="preserve"> sites on either side of Plummer Street at the intersection with Bridge Street.  The norther</w:t>
      </w:r>
      <w:r w:rsidR="004745D4">
        <w:t>n</w:t>
      </w:r>
      <w:r>
        <w:t xml:space="preserve"> parcel </w:t>
      </w:r>
      <w:r w:rsidR="005519A3">
        <w:t>is affected by the re</w:t>
      </w:r>
      <w:r>
        <w:t xml:space="preserve">alignment of Plummer Street, the </w:t>
      </w:r>
      <w:r w:rsidR="005519A3">
        <w:t>southern</w:t>
      </w:r>
      <w:r>
        <w:t xml:space="preserve"> by proposed open space.</w:t>
      </w:r>
      <w:r w:rsidR="005E2C62">
        <w:t xml:space="preserve">  </w:t>
      </w:r>
      <w:r w:rsidR="006B5A24">
        <w:t xml:space="preserve">The </w:t>
      </w:r>
      <w:r w:rsidR="005E2C62">
        <w:t xml:space="preserve">draft </w:t>
      </w:r>
      <w:r w:rsidR="006B5A24">
        <w:t>Framework identifies the realignment and road widening as a ‘medium-term’ action.</w:t>
      </w:r>
    </w:p>
    <w:p w:rsidR="005519A3" w:rsidRPr="004D6A47" w:rsidRDefault="005519A3" w:rsidP="004D6A47">
      <w:pPr>
        <w:pStyle w:val="PPVBody"/>
      </w:pPr>
      <w:r>
        <w:t xml:space="preserve">Delta made detailed submissions about the acquisition of land and the need to provide for existing activities.  These are addressed in the </w:t>
      </w:r>
      <w:r w:rsidR="0070496E">
        <w:t>O</w:t>
      </w:r>
      <w:r>
        <w:t xml:space="preserve">verview </w:t>
      </w:r>
      <w:r w:rsidR="0070496E">
        <w:t>R</w:t>
      </w:r>
      <w:r>
        <w:t>eport.</w:t>
      </w:r>
    </w:p>
    <w:p w:rsidR="005315EB" w:rsidRDefault="00321D97" w:rsidP="005315EB">
      <w:pPr>
        <w:pStyle w:val="PPVBody"/>
      </w:pPr>
      <w:r>
        <w:t>Mr Song</w:t>
      </w:r>
      <w:r w:rsidR="005315EB">
        <w:t xml:space="preserve"> </w:t>
      </w:r>
      <w:r w:rsidR="002868E4">
        <w:t>gave evidence</w:t>
      </w:r>
      <w:r w:rsidR="005315EB">
        <w:t xml:space="preserve"> in relation to the Delta site </w:t>
      </w:r>
      <w:r w:rsidR="002868E4">
        <w:t xml:space="preserve">and </w:t>
      </w:r>
      <w:r w:rsidR="005315EB">
        <w:t>agreed that the realignment of Plummer and Fennell Streets was a necessary outcome (as did Mr Walsh in his traffic evidence for the site).</w:t>
      </w:r>
    </w:p>
    <w:p w:rsidR="005315EB" w:rsidRDefault="005315EB" w:rsidP="005315EB">
      <w:pPr>
        <w:pStyle w:val="PPVBody"/>
      </w:pPr>
      <w:r>
        <w:t>Port Phillip submitted that on</w:t>
      </w:r>
      <w:r w:rsidR="0094658C">
        <w:t xml:space="preserve">ce </w:t>
      </w:r>
      <w:r w:rsidR="005E2C62">
        <w:t xml:space="preserve">it is accepted </w:t>
      </w:r>
      <w:r w:rsidR="0094658C">
        <w:t>that realignment i</w:t>
      </w:r>
      <w:r>
        <w:t xml:space="preserve">s necessary, then </w:t>
      </w:r>
      <w:r w:rsidR="005E2C62">
        <w:t xml:space="preserve">the only issue is </w:t>
      </w:r>
      <w:r>
        <w:t xml:space="preserve">to try and minimise the impact on Delta.  But the minimisation of the impact should not be in deference to </w:t>
      </w:r>
      <w:r w:rsidR="005E2C62">
        <w:t xml:space="preserve">the </w:t>
      </w:r>
      <w:r>
        <w:t xml:space="preserve">existing use </w:t>
      </w:r>
      <w:r w:rsidR="005E2C62">
        <w:t xml:space="preserve">of the Delta site, </w:t>
      </w:r>
      <w:r>
        <w:t>which is not consistent with the long-term Vision for t</w:t>
      </w:r>
      <w:r w:rsidR="003B5FA1">
        <w:t>he Precinct</w:t>
      </w:r>
      <w:r>
        <w:t>.  The objective should be to minimise the impact on Delta’s property rights</w:t>
      </w:r>
      <w:r w:rsidR="0094658C">
        <w:t>,</w:t>
      </w:r>
      <w:r>
        <w:t xml:space="preserve"> not their use rights.</w:t>
      </w:r>
    </w:p>
    <w:p w:rsidR="00C73DC2" w:rsidRDefault="005315EB" w:rsidP="005315EB">
      <w:pPr>
        <w:pStyle w:val="PPVBody"/>
      </w:pPr>
      <w:r>
        <w:t xml:space="preserve">Port Phillip submitted that for the </w:t>
      </w:r>
      <w:r w:rsidR="002868E4">
        <w:t xml:space="preserve">northern </w:t>
      </w:r>
      <w:r>
        <w:t xml:space="preserve">Plummer Street site, it makes sense to acquire the entire site given that parts of the existing buildings must be acquired for the tram and road realignment.  </w:t>
      </w:r>
      <w:r w:rsidR="00C73DC2">
        <w:t xml:space="preserve">This is discussed in Chapter </w:t>
      </w:r>
      <w:r w:rsidR="00C73DC2">
        <w:fldChar w:fldCharType="begin"/>
      </w:r>
      <w:r w:rsidR="00C73DC2">
        <w:instrText xml:space="preserve"> REF _Ref519619395 \r \h </w:instrText>
      </w:r>
      <w:r w:rsidR="00C73DC2">
        <w:fldChar w:fldCharType="separate"/>
      </w:r>
      <w:r w:rsidR="00AA0E65">
        <w:t>4</w:t>
      </w:r>
      <w:r w:rsidR="00C73DC2">
        <w:fldChar w:fldCharType="end"/>
      </w:r>
      <w:r w:rsidR="00C73DC2">
        <w:t>.</w:t>
      </w:r>
    </w:p>
    <w:p w:rsidR="005315EB" w:rsidRDefault="005315EB" w:rsidP="005315EB">
      <w:pPr>
        <w:pStyle w:val="PPVBody"/>
      </w:pPr>
      <w:r>
        <w:t>Port Phillip submitted that the acquisition of this whole site by the State Government will also go a long way to addressing the concerns raised in submissions by Mr Morris QC noting that this would result in Delta being compensated for the need to relocate its business activities from this location.</w:t>
      </w:r>
    </w:p>
    <w:p w:rsidR="008029B5" w:rsidRDefault="008029B5" w:rsidP="004745D4">
      <w:pPr>
        <w:pStyle w:val="Heading5"/>
      </w:pPr>
      <w:r>
        <w:t>Road to the south</w:t>
      </w:r>
    </w:p>
    <w:p w:rsidR="00CB512F" w:rsidRDefault="009F3FF0" w:rsidP="009F3FF0">
      <w:pPr>
        <w:pStyle w:val="PPVBody"/>
      </w:pPr>
      <w:r>
        <w:t xml:space="preserve">Mr Walsh submitted traffic evidence on behalf of Delta Group regarding the draft Amendment’s impact </w:t>
      </w:r>
      <w:r w:rsidRPr="00666512">
        <w:t>on 577 Plummer Street and 299 Bridge Street, Port Melbourne</w:t>
      </w:r>
      <w:r>
        <w:t>.  He found that in the general context of the future grid style road network, the proposed road (south of Plummer Street) is a logical response but it provides relatively local access as it terminates at JL Murphy Reserve (Graham Street).</w:t>
      </w:r>
    </w:p>
    <w:p w:rsidR="009F3FF0" w:rsidRDefault="00CB512F" w:rsidP="009F3FF0">
      <w:pPr>
        <w:pStyle w:val="PPVBody"/>
      </w:pPr>
      <w:r>
        <w:t>T</w:t>
      </w:r>
      <w:r w:rsidR="009F3FF0">
        <w:t>he propose</w:t>
      </w:r>
      <w:r w:rsidR="005E21FA">
        <w:t>d</w:t>
      </w:r>
      <w:r w:rsidR="009F3FF0">
        <w:t xml:space="preserve"> road is located entirely within Delta Group’s land yet properties to the south will realise benefits but not contribute to its cost.  </w:t>
      </w:r>
      <w:r>
        <w:t>It was submitted that this</w:t>
      </w:r>
      <w:r w:rsidR="009F3FF0">
        <w:t xml:space="preserve"> raises access, timing and delivery issues if other nearby parties choose to develop before Delta.</w:t>
      </w:r>
    </w:p>
    <w:p w:rsidR="00CB512F" w:rsidRDefault="00CB512F" w:rsidP="0070496E">
      <w:pPr>
        <w:pStyle w:val="PPVBody"/>
      </w:pPr>
      <w:r>
        <w:t xml:space="preserve">The Review Panel agrees that some realignment of the intersection </w:t>
      </w:r>
      <w:r w:rsidR="005E2C62">
        <w:t xml:space="preserve">is </w:t>
      </w:r>
      <w:r>
        <w:t>necessary, but that redesign depends on developing a functional layout of the intersection to determine precisely how much land is required.</w:t>
      </w:r>
    </w:p>
    <w:p w:rsidR="0070496E" w:rsidRPr="0070496E" w:rsidRDefault="00930BE5" w:rsidP="0070496E">
      <w:pPr>
        <w:pStyle w:val="PPVBody"/>
      </w:pPr>
      <w:r>
        <w:t>There is clearly a need to deliver a fine</w:t>
      </w:r>
      <w:r w:rsidR="00FF1251">
        <w:t xml:space="preserve"> grain</w:t>
      </w:r>
      <w:r w:rsidR="005E2C62">
        <w:t>ed</w:t>
      </w:r>
      <w:r>
        <w:t xml:space="preserve"> road network in the Precinct.  The Review Panel does not think that it would be prudent to remove the road to the south of the Delta site.  In</w:t>
      </w:r>
      <w:r w:rsidR="005E21FA">
        <w:t xml:space="preserve"> </w:t>
      </w:r>
      <w:r>
        <w:t>ter</w:t>
      </w:r>
      <w:r w:rsidR="005E21FA">
        <w:t xml:space="preserve">ms </w:t>
      </w:r>
      <w:r w:rsidR="005E2C62">
        <w:t xml:space="preserve">of </w:t>
      </w:r>
      <w:r w:rsidR="005E21FA">
        <w:t>who would benefit f</w:t>
      </w:r>
      <w:r>
        <w:t>r</w:t>
      </w:r>
      <w:r w:rsidR="005E21FA">
        <w:t>om</w:t>
      </w:r>
      <w:r>
        <w:t xml:space="preserve"> the road</w:t>
      </w:r>
      <w:r w:rsidR="005E21FA">
        <w:t>,</w:t>
      </w:r>
      <w:r>
        <w:t xml:space="preserve"> this is a matter of its precise location</w:t>
      </w:r>
      <w:r w:rsidR="00CB512F">
        <w:t xml:space="preserve"> </w:t>
      </w:r>
      <w:r>
        <w:t>– which can be determined i</w:t>
      </w:r>
      <w:r w:rsidR="005E21FA">
        <w:t>n t</w:t>
      </w:r>
      <w:r w:rsidR="003B5FA1">
        <w:t>he Precinct</w:t>
      </w:r>
      <w:r w:rsidR="005E21FA">
        <w:t xml:space="preserve"> planning process –</w:t>
      </w:r>
      <w:r>
        <w:t xml:space="preserve"> and who pays for the road – which can be determined as part of any </w:t>
      </w:r>
      <w:r w:rsidR="005E2C62">
        <w:t>ICP or DCP</w:t>
      </w:r>
      <w:r>
        <w:t>.</w:t>
      </w:r>
    </w:p>
    <w:p w:rsidR="00AA46EB" w:rsidRPr="00C3027B" w:rsidRDefault="00FE1522" w:rsidP="00AA46EB">
      <w:pPr>
        <w:pStyle w:val="Heading2"/>
      </w:pPr>
      <w:bookmarkStart w:id="133" w:name="_Toc519849006"/>
      <w:r w:rsidRPr="00B95037">
        <w:t>90</w:t>
      </w:r>
      <w:r>
        <w:t xml:space="preserve"> – </w:t>
      </w:r>
      <w:r w:rsidRPr="00B95037">
        <w:t>96 Johnson Street</w:t>
      </w:r>
      <w:r>
        <w:t xml:space="preserve"> (</w:t>
      </w:r>
      <w:r w:rsidR="005E21FA">
        <w:t>S175</w:t>
      </w:r>
      <w:r>
        <w:t>)</w:t>
      </w:r>
      <w:bookmarkEnd w:id="133"/>
    </w:p>
    <w:p w:rsidR="00B95037" w:rsidRPr="00B95037" w:rsidRDefault="00B95037" w:rsidP="00B95037">
      <w:pPr>
        <w:pStyle w:val="PPVBody"/>
      </w:pPr>
      <w:r w:rsidRPr="00B95037">
        <w:t>Citipower is the owner of the land at 90</w:t>
      </w:r>
      <w:r w:rsidR="006B5A24">
        <w:t xml:space="preserve"> – </w:t>
      </w:r>
      <w:r w:rsidRPr="00B95037">
        <w:t xml:space="preserve">96 Johnson Street, South Melbourne. </w:t>
      </w:r>
      <w:r>
        <w:t xml:space="preserve"> The s</w:t>
      </w:r>
      <w:r w:rsidRPr="00B95037">
        <w:t>ite is currently used for the purpose of an electrical substation.</w:t>
      </w:r>
      <w:r>
        <w:t xml:space="preserve"> </w:t>
      </w:r>
      <w:r w:rsidRPr="00B95037">
        <w:t xml:space="preserve"> It has an area of 4,066 </w:t>
      </w:r>
      <w:r w:rsidR="00AD2995">
        <w:t>square metr</w:t>
      </w:r>
      <w:r w:rsidRPr="00B95037">
        <w:t>es with frontages to Johnson Street, Munro Street and</w:t>
      </w:r>
      <w:r>
        <w:t xml:space="preserve"> </w:t>
      </w:r>
      <w:r w:rsidRPr="00B95037">
        <w:t>Governor Streets.</w:t>
      </w:r>
    </w:p>
    <w:p w:rsidR="00AA46EB" w:rsidRDefault="00AA46EB" w:rsidP="00AA46EB">
      <w:pPr>
        <w:pStyle w:val="PPVBody"/>
      </w:pPr>
      <w:r>
        <w:t>Ms Heggen gave evidence on behalf of Goodman and Citi</w:t>
      </w:r>
      <w:r w:rsidR="00BA473B">
        <w:t>P</w:t>
      </w:r>
      <w:r>
        <w:t>ower.</w:t>
      </w:r>
      <w:r w:rsidR="00B95037">
        <w:t xml:space="preserve">  </w:t>
      </w:r>
      <w:r>
        <w:t>Ms Heggen’s primary concerns related to the general matters of infrastructure delivery and governance, and the difference between the FAR and the FAU in t</w:t>
      </w:r>
      <w:r w:rsidR="00763C90">
        <w:t>erms of what she regarded as a ‘</w:t>
      </w:r>
      <w:r>
        <w:t>looseness of fit</w:t>
      </w:r>
      <w:r w:rsidR="00763C90">
        <w:t>’</w:t>
      </w:r>
      <w:r>
        <w:t>.  Cross</w:t>
      </w:r>
      <w:r w:rsidR="00FF1251">
        <w:t xml:space="preserve"> </w:t>
      </w:r>
      <w:r>
        <w:t>examination by Ms Brennan confirmed that this view was significantly over estimated</w:t>
      </w:r>
      <w:r w:rsidR="007F59D2">
        <w:t xml:space="preserve"> as Ms Heggen’s analysis did not fully account for the practical issues in building design that limits what percentage of the build form envelope can actually be developed.</w:t>
      </w:r>
    </w:p>
    <w:p w:rsidR="00632E78" w:rsidRDefault="00AD2995" w:rsidP="00AD2995">
      <w:pPr>
        <w:pStyle w:val="PPVBody"/>
      </w:pPr>
      <w:r>
        <w:t>It wa</w:t>
      </w:r>
      <w:r w:rsidR="00062FFD">
        <w:t>s submitted that there is a significant difference between the discretionary height of 24 storeys and the existing approval for development on the site to the immedia</w:t>
      </w:r>
      <w:r w:rsidR="00CB512F">
        <w:t>te north of between 26–</w:t>
      </w:r>
      <w:r w:rsidR="00062FFD">
        <w:t>46 storeys in height.</w:t>
      </w:r>
      <w:r w:rsidR="00CF0B92">
        <w:t xml:space="preserve">  </w:t>
      </w:r>
      <w:r w:rsidR="007F59D2">
        <w:t>The height permitted on the Citi</w:t>
      </w:r>
      <w:r w:rsidR="00BA473B">
        <w:t>P</w:t>
      </w:r>
      <w:r w:rsidR="007F59D2">
        <w:t>ower site cannot be considered in isolation.  The Review Panel is comfortable with the 24 storey height limit in this part of Sandr</w:t>
      </w:r>
      <w:r w:rsidR="005E21FA">
        <w:t>idge, accepting that permits for</w:t>
      </w:r>
      <w:r w:rsidR="007F59D2">
        <w:t xml:space="preserve"> taller development have been issued.</w:t>
      </w:r>
    </w:p>
    <w:p w:rsidR="005779A4" w:rsidRDefault="004745D4" w:rsidP="00444067">
      <w:pPr>
        <w:pStyle w:val="Heading2"/>
      </w:pPr>
      <w:bookmarkStart w:id="134" w:name="_Toc519849007"/>
      <w:r>
        <w:t>60</w:t>
      </w:r>
      <w:r w:rsidR="00966577">
        <w:t xml:space="preserve"> </w:t>
      </w:r>
      <w:r>
        <w:t>–</w:t>
      </w:r>
      <w:r w:rsidR="00966577">
        <w:t xml:space="preserve"> </w:t>
      </w:r>
      <w:r w:rsidR="005779A4">
        <w:t>82 Joh</w:t>
      </w:r>
      <w:r w:rsidR="00132131">
        <w:t>ns</w:t>
      </w:r>
      <w:r w:rsidR="005779A4">
        <w:t>on Street</w:t>
      </w:r>
      <w:r w:rsidR="00966577">
        <w:t xml:space="preserve"> (</w:t>
      </w:r>
      <w:r w:rsidR="005E21FA">
        <w:t>S250</w:t>
      </w:r>
      <w:r w:rsidR="00966577">
        <w:t>)</w:t>
      </w:r>
      <w:bookmarkEnd w:id="134"/>
    </w:p>
    <w:p w:rsidR="005E755F" w:rsidRPr="00632E78" w:rsidRDefault="005779A4" w:rsidP="005E755F">
      <w:pPr>
        <w:pStyle w:val="PPVBody"/>
      </w:pPr>
      <w:r w:rsidRPr="00632E78">
        <w:t xml:space="preserve">Salvo </w:t>
      </w:r>
      <w:r w:rsidR="00931920">
        <w:t xml:space="preserve">purchased </w:t>
      </w:r>
      <w:r w:rsidR="00D50983">
        <w:t xml:space="preserve">60 – 82 Johnson Street </w:t>
      </w:r>
      <w:r w:rsidR="00931920">
        <w:t>the land in 2016 with the intention of redeveloping the land in accordance with an existing permit.</w:t>
      </w:r>
      <w:r w:rsidR="005E755F" w:rsidRPr="005E755F">
        <w:t xml:space="preserve"> </w:t>
      </w:r>
      <w:r w:rsidR="005E755F">
        <w:t xml:space="preserve"> </w:t>
      </w:r>
      <w:r w:rsidR="005E755F" w:rsidRPr="00632E78">
        <w:t xml:space="preserve">The </w:t>
      </w:r>
      <w:r w:rsidR="00BA473B">
        <w:t>p</w:t>
      </w:r>
      <w:r w:rsidR="005E755F" w:rsidRPr="00632E78">
        <w:t>ermit was originally issued by the Minister for Planning on 20 May 2015.  It was subsequently amended on 17 October 2016.  The amendments made were relatively minor.</w:t>
      </w:r>
    </w:p>
    <w:p w:rsidR="00931920" w:rsidRDefault="00931920" w:rsidP="00931920">
      <w:pPr>
        <w:pStyle w:val="PPVBody"/>
      </w:pPr>
      <w:r>
        <w:t xml:space="preserve">This application made allowance for a mid-block link (14.8 metres wide) and for half of a proposed 22 metre wide road along the north </w:t>
      </w:r>
      <w:r w:rsidR="00874146">
        <w:t xml:space="preserve">boundary of the site.  It was submitted that </w:t>
      </w:r>
      <w:r>
        <w:t>with the draft Amendment these matters are now unclear, in particular the proposed road on the northern boundary may be entirely within their property, half, or not at all.</w:t>
      </w:r>
    </w:p>
    <w:p w:rsidR="005779A4" w:rsidRPr="00632E78" w:rsidRDefault="005779A4" w:rsidP="00632E78">
      <w:pPr>
        <w:pStyle w:val="PPVBody"/>
      </w:pPr>
      <w:r w:rsidRPr="00632E78">
        <w:t>Salvo is an established, land developer and over the past decade, has been responsible for the development of more than 3,000 residential apartments.</w:t>
      </w:r>
      <w:r w:rsidR="00CF0B92">
        <w:t xml:space="preserve">  </w:t>
      </w:r>
      <w:r w:rsidRPr="00632E78">
        <w:t>Salvo stressed:</w:t>
      </w:r>
    </w:p>
    <w:p w:rsidR="00DF38AE" w:rsidRDefault="005779A4" w:rsidP="005779A4">
      <w:pPr>
        <w:pStyle w:val="PPVQuote"/>
      </w:pPr>
      <w:r>
        <w:t>Perhaps more significantly in the context of</w:t>
      </w:r>
      <w:r w:rsidR="00632E78">
        <w:t xml:space="preserve"> this </w:t>
      </w:r>
      <w:r w:rsidR="00BA473B">
        <w:t>H</w:t>
      </w:r>
      <w:r w:rsidR="00632E78">
        <w:t>earing, Salvo have a 100 per cent</w:t>
      </w:r>
      <w:r>
        <w:t xml:space="preserve"> project completion record</w:t>
      </w:r>
      <w:r w:rsidR="00AD2995">
        <w:t>.  T</w:t>
      </w:r>
      <w:r>
        <w:t>hey have never failed to complete a development project.</w:t>
      </w:r>
      <w:r w:rsidR="005E21FA">
        <w:rPr>
          <w:rStyle w:val="FootnoteReference"/>
        </w:rPr>
        <w:footnoteReference w:id="14"/>
      </w:r>
    </w:p>
    <w:p w:rsidR="005779A4" w:rsidRPr="00632E78" w:rsidRDefault="005779A4" w:rsidP="00632E78">
      <w:pPr>
        <w:pStyle w:val="PPVBody"/>
      </w:pPr>
      <w:r w:rsidRPr="00632E78">
        <w:t xml:space="preserve">The </w:t>
      </w:r>
      <w:r w:rsidR="00874146">
        <w:t>site</w:t>
      </w:r>
      <w:r w:rsidRPr="00632E78">
        <w:t xml:space="preserve"> is currently vacant, save for some residual areas of hard stand concrete</w:t>
      </w:r>
      <w:r w:rsidR="00AD2995" w:rsidRPr="00632E78">
        <w:t>.  T</w:t>
      </w:r>
      <w:r w:rsidRPr="00632E78">
        <w:t>here have also been some recent works associated with environmental site investigation and remediation undertaken.</w:t>
      </w:r>
    </w:p>
    <w:p w:rsidR="005779A4" w:rsidRPr="00632E78" w:rsidRDefault="005779A4" w:rsidP="00632E78">
      <w:pPr>
        <w:pStyle w:val="PPVBody"/>
      </w:pPr>
      <w:r w:rsidRPr="00632E78">
        <w:t>In res</w:t>
      </w:r>
      <w:r w:rsidR="00132131" w:rsidRPr="00632E78">
        <w:t xml:space="preserve">ponse to the exhibition of draft </w:t>
      </w:r>
      <w:r w:rsidRPr="00632E78">
        <w:t>Amendment, Salvo raised several concern</w:t>
      </w:r>
      <w:r w:rsidR="00132131" w:rsidRPr="00632E78">
        <w:t>s</w:t>
      </w:r>
      <w:r w:rsidR="00632E78" w:rsidRPr="00632E78">
        <w:t xml:space="preserve"> s</w:t>
      </w:r>
      <w:r w:rsidRPr="00632E78">
        <w:t>ite specific concerns</w:t>
      </w:r>
      <w:r w:rsidR="00632E78">
        <w:t>:</w:t>
      </w:r>
    </w:p>
    <w:p w:rsidR="005779A4" w:rsidRPr="00FC3DDD" w:rsidRDefault="005E755F" w:rsidP="00632E78">
      <w:pPr>
        <w:pStyle w:val="PPVBullet1"/>
      </w:pPr>
      <w:r>
        <w:t xml:space="preserve">the </w:t>
      </w:r>
      <w:r w:rsidR="00632E78" w:rsidRPr="00FC3DDD">
        <w:t>buildin</w:t>
      </w:r>
      <w:r w:rsidR="005779A4" w:rsidRPr="00FC3DDD">
        <w:t>g height and floor area ratio</w:t>
      </w:r>
      <w:r w:rsidR="00632E78">
        <w:t xml:space="preserve"> </w:t>
      </w:r>
      <w:r>
        <w:t xml:space="preserve">are </w:t>
      </w:r>
      <w:r w:rsidR="00632E78">
        <w:t>inappropriate</w:t>
      </w:r>
    </w:p>
    <w:p w:rsidR="005779A4" w:rsidRPr="00FC3DDD" w:rsidRDefault="005E755F" w:rsidP="00632E78">
      <w:pPr>
        <w:pStyle w:val="PPVBullet1"/>
      </w:pPr>
      <w:r>
        <w:t xml:space="preserve">the </w:t>
      </w:r>
      <w:r w:rsidR="00632E78" w:rsidRPr="00FC3DDD">
        <w:t>propos</w:t>
      </w:r>
      <w:r w:rsidR="005779A4" w:rsidRPr="00FC3DDD">
        <w:t xml:space="preserve">ed reduction in building height and introduction of mandatory floor area </w:t>
      </w:r>
      <w:r w:rsidR="00632E78" w:rsidRPr="00FC3DDD">
        <w:t>ratio un</w:t>
      </w:r>
      <w:r w:rsidR="005779A4" w:rsidRPr="00FC3DDD">
        <w:t>reasonable and unjustified, particularly in the Sandridge Precinct</w:t>
      </w:r>
    </w:p>
    <w:p w:rsidR="005779A4" w:rsidRPr="00FC3DDD" w:rsidRDefault="005E755F" w:rsidP="00632E78">
      <w:pPr>
        <w:pStyle w:val="PPVBullet1"/>
      </w:pPr>
      <w:r>
        <w:t xml:space="preserve">there </w:t>
      </w:r>
      <w:r w:rsidR="00632E78" w:rsidRPr="00FC3DDD">
        <w:t>should</w:t>
      </w:r>
      <w:r w:rsidR="005779A4" w:rsidRPr="00FC3DDD">
        <w:t xml:space="preserve"> be recognition of existing permits in determining preferred built form </w:t>
      </w:r>
      <w:r w:rsidR="00632E78" w:rsidRPr="00FC3DDD">
        <w:t>control</w:t>
      </w:r>
      <w:r w:rsidR="005779A4" w:rsidRPr="00FC3DDD">
        <w:t>s for a site/precinct</w:t>
      </w:r>
    </w:p>
    <w:p w:rsidR="005779A4" w:rsidRPr="00FC3DDD" w:rsidRDefault="00632E78" w:rsidP="00632E78">
      <w:pPr>
        <w:pStyle w:val="PPVBullet1"/>
      </w:pPr>
      <w:r w:rsidRPr="00FC3DDD">
        <w:t>no pot</w:t>
      </w:r>
      <w:r w:rsidR="005779A4" w:rsidRPr="00FC3DDD">
        <w:t>ential local amenity considerations justify</w:t>
      </w:r>
      <w:r>
        <w:t xml:space="preserve"> lower heights and density</w:t>
      </w:r>
    </w:p>
    <w:p w:rsidR="005779A4" w:rsidRPr="00431B4F" w:rsidRDefault="00632E78" w:rsidP="00632E78">
      <w:pPr>
        <w:pStyle w:val="PPVBullet1"/>
      </w:pPr>
      <w:r>
        <w:t>c</w:t>
      </w:r>
      <w:r w:rsidRPr="00FC3DDD">
        <w:t>urrent</w:t>
      </w:r>
      <w:r w:rsidR="005E755F">
        <w:t xml:space="preserve"> </w:t>
      </w:r>
      <w:r w:rsidR="005779A4" w:rsidRPr="00FC3DDD">
        <w:t xml:space="preserve">approved building heights need to be given weight in any </w:t>
      </w:r>
      <w:r w:rsidRPr="00FC3DDD">
        <w:t>assessm</w:t>
      </w:r>
      <w:r w:rsidR="005779A4" w:rsidRPr="00FC3DDD">
        <w:t>ent associated with determining preferred building heights</w:t>
      </w:r>
    </w:p>
    <w:p w:rsidR="005779A4" w:rsidRPr="00FC3DDD" w:rsidRDefault="00765C86" w:rsidP="00765C86">
      <w:pPr>
        <w:pStyle w:val="PPVBullet1"/>
      </w:pPr>
      <w:r w:rsidRPr="00FC3DDD">
        <w:t>propo</w:t>
      </w:r>
      <w:r w:rsidR="005779A4" w:rsidRPr="00FC3DDD">
        <w:t>sed 22 m</w:t>
      </w:r>
      <w:r w:rsidR="005E755F">
        <w:t>etre</w:t>
      </w:r>
      <w:r w:rsidR="005779A4" w:rsidRPr="00FC3DDD">
        <w:t xml:space="preserve"> wide road along north boundary to linear open space </w:t>
      </w:r>
      <w:r w:rsidR="005E755F">
        <w:t xml:space="preserve">was </w:t>
      </w:r>
      <w:r w:rsidR="005779A4" w:rsidRPr="00FC3DDD">
        <w:t xml:space="preserve">not raised in </w:t>
      </w:r>
      <w:r w:rsidRPr="00FC3DDD">
        <w:t>any co</w:t>
      </w:r>
      <w:r w:rsidR="005E755F">
        <w:t>nsultations.</w:t>
      </w:r>
    </w:p>
    <w:p w:rsidR="005779A4" w:rsidRPr="006D3686" w:rsidRDefault="00DE53AC" w:rsidP="00DE53AC">
      <w:pPr>
        <w:pStyle w:val="PPVBody"/>
      </w:pPr>
      <w:r>
        <w:t>It was submitted, a</w:t>
      </w:r>
      <w:r w:rsidR="005779A4">
        <w:t xml:space="preserve">s is evident from the endorsed plans, </w:t>
      </w:r>
      <w:r>
        <w:t xml:space="preserve">that </w:t>
      </w:r>
      <w:r w:rsidR="005779A4">
        <w:t>there</w:t>
      </w:r>
      <w:r w:rsidR="005779A4" w:rsidRPr="008035FC">
        <w:t xml:space="preserve"> is a significant </w:t>
      </w:r>
      <w:r w:rsidR="005779A4">
        <w:t>difference</w:t>
      </w:r>
      <w:r w:rsidR="005779A4" w:rsidRPr="008035FC">
        <w:t xml:space="preserve"> between the</w:t>
      </w:r>
      <w:r w:rsidR="005779A4">
        <w:t xml:space="preserve"> built form approved under the </w:t>
      </w:r>
      <w:r w:rsidR="00BA473B">
        <w:t>p</w:t>
      </w:r>
      <w:r w:rsidR="005779A4">
        <w:t xml:space="preserve">ermit and the built form that could be achieved under the </w:t>
      </w:r>
      <w:r>
        <w:t>draft Amendment.</w:t>
      </w:r>
    </w:p>
    <w:p w:rsidR="00DF38AE" w:rsidRDefault="00132131" w:rsidP="00DE53AC">
      <w:pPr>
        <w:pStyle w:val="PPVBody"/>
      </w:pPr>
      <w:r w:rsidRPr="00132131">
        <w:t xml:space="preserve">Both </w:t>
      </w:r>
      <w:r w:rsidR="005779A4" w:rsidRPr="00132131">
        <w:t xml:space="preserve">Mr McGurn and Mr </w:t>
      </w:r>
      <w:r>
        <w:t>Sheppard</w:t>
      </w:r>
      <w:r w:rsidR="00DE53AC">
        <w:t xml:space="preserve"> identified</w:t>
      </w:r>
      <w:r w:rsidR="005779A4" w:rsidRPr="00132131">
        <w:t xml:space="preserve"> that the development approved under the </w:t>
      </w:r>
      <w:r w:rsidR="00BA473B">
        <w:t>p</w:t>
      </w:r>
      <w:r w:rsidR="005779A4" w:rsidRPr="00132131">
        <w:t xml:space="preserve">ermit would be prohibited under the </w:t>
      </w:r>
      <w:r w:rsidR="00CF0B92">
        <w:t>draft</w:t>
      </w:r>
      <w:r w:rsidR="00CF0B92" w:rsidRPr="00132131">
        <w:t xml:space="preserve"> </w:t>
      </w:r>
      <w:r w:rsidR="005779A4" w:rsidRPr="00132131">
        <w:t>Amendment because of:</w:t>
      </w:r>
    </w:p>
    <w:p w:rsidR="005779A4" w:rsidRDefault="005779A4" w:rsidP="00DE53AC">
      <w:pPr>
        <w:pStyle w:val="PPVBullet1"/>
      </w:pPr>
      <w:r w:rsidRPr="008035FC">
        <w:t xml:space="preserve">the </w:t>
      </w:r>
      <w:r>
        <w:t xml:space="preserve">application of the </w:t>
      </w:r>
      <w:r w:rsidRPr="008035FC">
        <w:t>FAR controls</w:t>
      </w:r>
    </w:p>
    <w:p w:rsidR="005779A4" w:rsidRDefault="005779A4" w:rsidP="00DE53AC">
      <w:pPr>
        <w:pStyle w:val="PPVBullet1"/>
      </w:pPr>
      <w:r>
        <w:t>the location of a 22</w:t>
      </w:r>
      <w:r w:rsidR="00132131">
        <w:t xml:space="preserve"> </w:t>
      </w:r>
      <w:r>
        <w:t>m</w:t>
      </w:r>
      <w:r w:rsidR="00132131">
        <w:t>etre</w:t>
      </w:r>
      <w:r>
        <w:t xml:space="preserve"> wide road on the Salvo Land (although </w:t>
      </w:r>
      <w:r w:rsidR="00CF0B92">
        <w:t>the precise location of the road is not entirely clear</w:t>
      </w:r>
      <w:r w:rsidR="00132131">
        <w:t>)</w:t>
      </w:r>
    </w:p>
    <w:p w:rsidR="005779A4" w:rsidRPr="008035FC" w:rsidRDefault="005779A4" w:rsidP="00DE53AC">
      <w:pPr>
        <w:pStyle w:val="PPVBullet1"/>
      </w:pPr>
      <w:r>
        <w:t>the location of the proposed area of linear open space</w:t>
      </w:r>
      <w:r w:rsidRPr="008035FC">
        <w:t>.</w:t>
      </w:r>
    </w:p>
    <w:p w:rsidR="00DE53AC" w:rsidRPr="00840489" w:rsidRDefault="005779A4" w:rsidP="00CF0B92">
      <w:pPr>
        <w:pStyle w:val="PPVBody"/>
      </w:pPr>
      <w:r>
        <w:t xml:space="preserve">Under the </w:t>
      </w:r>
      <w:r w:rsidR="00CF0B92">
        <w:t xml:space="preserve">draft </w:t>
      </w:r>
      <w:r>
        <w:t>Amendment,</w:t>
      </w:r>
      <w:r w:rsidRPr="008035FC">
        <w:t xml:space="preserve"> the </w:t>
      </w:r>
      <w:r>
        <w:t>Salvo La</w:t>
      </w:r>
      <w:r w:rsidR="005E755F">
        <w:t>nd would be located within the non-c</w:t>
      </w:r>
      <w:r>
        <w:t>ore area of Sandridge</w:t>
      </w:r>
      <w:r w:rsidR="00AD2995">
        <w:t>.  I</w:t>
      </w:r>
      <w:r>
        <w:t xml:space="preserve">t would be subject to a FAR of 3.3:1.  This is below the FAR of the development approved under the </w:t>
      </w:r>
      <w:r w:rsidR="00BA473B">
        <w:t>p</w:t>
      </w:r>
      <w:r>
        <w:t>ermit</w:t>
      </w:r>
      <w:r w:rsidR="00DE53AC">
        <w:t>.</w:t>
      </w:r>
      <w:r w:rsidR="00CF0B92">
        <w:t xml:space="preserve">  Salvo submitted that</w:t>
      </w:r>
      <w:r w:rsidR="00DE53AC">
        <w:t>:</w:t>
      </w:r>
    </w:p>
    <w:p w:rsidR="005779A4" w:rsidRDefault="005779A4" w:rsidP="00132131">
      <w:pPr>
        <w:pStyle w:val="PPVQuote"/>
      </w:pPr>
      <w:r>
        <w:t xml:space="preserve">The Minister has made no submission, and produced no evidence, that should lead the Review Panel to conclude that the development approved under the </w:t>
      </w:r>
      <w:r w:rsidR="00BA473B">
        <w:t>p</w:t>
      </w:r>
      <w:r>
        <w:t>ermit would adversely impact on Fishermans Bend, or fail to deliver a net community benefit</w:t>
      </w:r>
      <w:r w:rsidR="00AD2995">
        <w:t>.  T</w:t>
      </w:r>
      <w:r>
        <w:t>here is no good reason why control should be drawn which would effectively preclude this kind of development outcome, or make it conditional upon the exercise of a poorly defined, unreviewable and arbitrary FAU decision by the Minister.</w:t>
      </w:r>
      <w:r w:rsidR="005E21FA">
        <w:rPr>
          <w:rStyle w:val="FootnoteReference"/>
        </w:rPr>
        <w:footnoteReference w:id="15"/>
      </w:r>
    </w:p>
    <w:p w:rsidR="001C59F2" w:rsidRPr="001C59F2" w:rsidRDefault="001C59F2" w:rsidP="005779A4">
      <w:pPr>
        <w:pStyle w:val="PPVBody"/>
      </w:pPr>
      <w:r w:rsidRPr="001C59F2">
        <w:t xml:space="preserve">The draft Amendment </w:t>
      </w:r>
      <w:r w:rsidR="00CF0B92">
        <w:t xml:space="preserve">seeks </w:t>
      </w:r>
      <w:r w:rsidRPr="001C59F2">
        <w:t>to change the trajectory of Fishermans Bend.  This implies that what was on</w:t>
      </w:r>
      <w:r w:rsidR="00CF0B92">
        <w:t>c</w:t>
      </w:r>
      <w:r w:rsidRPr="001C59F2">
        <w:t>e permitted will not be permitted under the draft Amendment.  T</w:t>
      </w:r>
      <w:r w:rsidR="005E755F" w:rsidRPr="001C59F2">
        <w:t xml:space="preserve">he submissions from Salvo </w:t>
      </w:r>
      <w:r w:rsidRPr="001C59F2">
        <w:t>challenge this change in direction</w:t>
      </w:r>
      <w:r w:rsidR="005E755F" w:rsidRPr="001C59F2">
        <w:t>.</w:t>
      </w:r>
    </w:p>
    <w:p w:rsidR="005E755F" w:rsidRDefault="001C59F2" w:rsidP="005E755F">
      <w:pPr>
        <w:pStyle w:val="PPVBody"/>
      </w:pPr>
      <w:r w:rsidRPr="001C59F2">
        <w:t>D</w:t>
      </w:r>
      <w:r w:rsidR="005E755F" w:rsidRPr="001C59F2">
        <w:t>evelopment can pr</w:t>
      </w:r>
      <w:r w:rsidRPr="001C59F2">
        <w:t xml:space="preserve">oceed under the current permit.  </w:t>
      </w:r>
      <w:r w:rsidR="005E755F" w:rsidRPr="001C59F2">
        <w:t>The Review Panel considers that if some of the current permits are acted upon, and others approved, it will ensure a varied built form outcome, albeit somewhat taller than proposed by this draft Amendment.  However, it does not mean that all building heights should revert back to what was inclu</w:t>
      </w:r>
      <w:r w:rsidR="0070545C" w:rsidRPr="001C59F2">
        <w:t>ded as part of Amendment GC50.</w:t>
      </w:r>
    </w:p>
    <w:p w:rsidR="00CF0B92" w:rsidRPr="001C59F2" w:rsidRDefault="00CF0B92" w:rsidP="00CF0B92">
      <w:pPr>
        <w:pStyle w:val="PPVBody"/>
      </w:pPr>
      <w:r w:rsidRPr="001C59F2">
        <w:t>As discussed in the Overview Report</w:t>
      </w:r>
      <w:r>
        <w:t xml:space="preserve">, the </w:t>
      </w:r>
      <w:r w:rsidRPr="001C59F2">
        <w:t>Part C version of the draft Amendment deal</w:t>
      </w:r>
      <w:r>
        <w:t>s</w:t>
      </w:r>
      <w:r w:rsidRPr="001C59F2">
        <w:t xml:space="preserve"> better with existing permits.</w:t>
      </w:r>
    </w:p>
    <w:p w:rsidR="005779A4" w:rsidRPr="001128FF" w:rsidRDefault="007A2FC1" w:rsidP="00444067">
      <w:pPr>
        <w:pStyle w:val="Heading2"/>
      </w:pPr>
      <w:bookmarkStart w:id="135" w:name="_Toc519849008"/>
      <w:r w:rsidRPr="001128FF">
        <w:t>44</w:t>
      </w:r>
      <w:r w:rsidR="001128FF" w:rsidRPr="001128FF">
        <w:t xml:space="preserve"> </w:t>
      </w:r>
      <w:r w:rsidRPr="001128FF">
        <w:t>–</w:t>
      </w:r>
      <w:r w:rsidR="001128FF" w:rsidRPr="001128FF">
        <w:t xml:space="preserve"> </w:t>
      </w:r>
      <w:r w:rsidR="003D6521" w:rsidRPr="001128FF">
        <w:t xml:space="preserve">54 </w:t>
      </w:r>
      <w:r w:rsidR="00155355" w:rsidRPr="001128FF">
        <w:t>W</w:t>
      </w:r>
      <w:r w:rsidR="009A496E" w:rsidRPr="001128FF">
        <w:t>h</w:t>
      </w:r>
      <w:r w:rsidR="003D6521" w:rsidRPr="001128FF">
        <w:t>ite S</w:t>
      </w:r>
      <w:r w:rsidR="0075151A" w:rsidRPr="001128FF">
        <w:t>treet</w:t>
      </w:r>
      <w:r w:rsidR="001128FF">
        <w:t xml:space="preserve"> (</w:t>
      </w:r>
      <w:r w:rsidR="00B0216B">
        <w:t>S141</w:t>
      </w:r>
      <w:r w:rsidR="001128FF">
        <w:t>)</w:t>
      </w:r>
      <w:bookmarkEnd w:id="135"/>
    </w:p>
    <w:p w:rsidR="00CF0B92" w:rsidRPr="0075151A" w:rsidRDefault="00155355" w:rsidP="00CF0B92">
      <w:pPr>
        <w:pStyle w:val="PPVBody"/>
      </w:pPr>
      <w:r>
        <w:t xml:space="preserve">Kador Group Holdings Pty Ltd </w:t>
      </w:r>
      <w:r w:rsidRPr="00155355">
        <w:t xml:space="preserve">own </w:t>
      </w:r>
      <w:r w:rsidR="007A2FC1">
        <w:t>44</w:t>
      </w:r>
      <w:r w:rsidR="001128FF">
        <w:t xml:space="preserve"> </w:t>
      </w:r>
      <w:r w:rsidR="007A2FC1">
        <w:t>–</w:t>
      </w:r>
      <w:r w:rsidR="001128FF">
        <w:t xml:space="preserve"> </w:t>
      </w:r>
      <w:r>
        <w:t xml:space="preserve">54 White Street. </w:t>
      </w:r>
      <w:r w:rsidR="001128FF">
        <w:t xml:space="preserve"> </w:t>
      </w:r>
      <w:r w:rsidR="00CF0B92" w:rsidRPr="0075151A">
        <w:t xml:space="preserve">The </w:t>
      </w:r>
      <w:r w:rsidR="00CF0B92">
        <w:t>site</w:t>
      </w:r>
      <w:r w:rsidR="00CF0B92" w:rsidRPr="0075151A">
        <w:t xml:space="preserve"> is located on the north eastern side of White Street, is irregular in shape and has an area</w:t>
      </w:r>
      <w:r w:rsidR="00CF0B92">
        <w:t xml:space="preserve"> of approximately 1.3 hectares.</w:t>
      </w:r>
      <w:r w:rsidR="00CF0B92" w:rsidRPr="00CF0B92">
        <w:t xml:space="preserve"> </w:t>
      </w:r>
      <w:r w:rsidR="00CF0B92">
        <w:t xml:space="preserve"> </w:t>
      </w:r>
      <w:r w:rsidR="00CF0B92" w:rsidRPr="0075151A">
        <w:t>T</w:t>
      </w:r>
      <w:r w:rsidR="00CF0B92">
        <w:t>he site is:</w:t>
      </w:r>
    </w:p>
    <w:p w:rsidR="00CF0B92" w:rsidRPr="0075151A" w:rsidRDefault="00CF0B92" w:rsidP="00CF0B92">
      <w:pPr>
        <w:pStyle w:val="PPVBullet1"/>
      </w:pPr>
      <w:r w:rsidRPr="0075151A">
        <w:t>partly in the core and partly in the non-core area of Sandridge and subject to FARs o</w:t>
      </w:r>
      <w:r>
        <w:t>f 8.1:1 and 3.3:1 respectively</w:t>
      </w:r>
    </w:p>
    <w:p w:rsidR="00CF0B92" w:rsidRPr="0075151A" w:rsidRDefault="00CF0B92" w:rsidP="00CF0B92">
      <w:pPr>
        <w:pStyle w:val="PPVBullet1"/>
      </w:pPr>
      <w:r w:rsidRPr="0075151A">
        <w:t>subject to a discretionary building height of 42.2</w:t>
      </w:r>
      <w:r>
        <w:t xml:space="preserve"> </w:t>
      </w:r>
      <w:r w:rsidRPr="0075151A">
        <w:t>m</w:t>
      </w:r>
      <w:r>
        <w:t>etre</w:t>
      </w:r>
      <w:r w:rsidRPr="0075151A">
        <w:t xml:space="preserve"> (12</w:t>
      </w:r>
      <w:r>
        <w:t xml:space="preserve"> storeys) in the core area</w:t>
      </w:r>
    </w:p>
    <w:p w:rsidR="00CF0B92" w:rsidRPr="0075151A" w:rsidRDefault="00CF0B92" w:rsidP="00CF0B92">
      <w:pPr>
        <w:pStyle w:val="PPVBullet1"/>
      </w:pPr>
      <w:r w:rsidRPr="0075151A">
        <w:t>subject to a discretionary building height of 80.6</w:t>
      </w:r>
      <w:r>
        <w:t xml:space="preserve"> </w:t>
      </w:r>
      <w:r w:rsidRPr="0075151A">
        <w:t>m</w:t>
      </w:r>
      <w:r>
        <w:t>etre</w:t>
      </w:r>
      <w:r w:rsidRPr="0075151A">
        <w:t xml:space="preserve"> (24</w:t>
      </w:r>
      <w:r>
        <w:t xml:space="preserve"> storeys) in the non-core area, </w:t>
      </w:r>
      <w:r w:rsidRPr="0075151A">
        <w:t>with a small portion in the westernmost part of the non-core area being subject to a discretionary building height o</w:t>
      </w:r>
      <w:r>
        <w:t>f 42.2 metre (12 storeys).</w:t>
      </w:r>
    </w:p>
    <w:p w:rsidR="00CF0B92" w:rsidRDefault="00CF0B92" w:rsidP="00CF0B92">
      <w:pPr>
        <w:pStyle w:val="PPVBody"/>
      </w:pPr>
      <w:r w:rsidRPr="0075151A">
        <w:t xml:space="preserve">The </w:t>
      </w:r>
      <w:r>
        <w:t>site</w:t>
      </w:r>
      <w:r w:rsidRPr="0075151A">
        <w:t xml:space="preserve"> is identified as being located partly within the Sandridge Arts and Cultural Hub investigation area and partly within the Sandridge Sport and </w:t>
      </w:r>
      <w:r>
        <w:t>r</w:t>
      </w:r>
      <w:r w:rsidRPr="0075151A">
        <w:t xml:space="preserve">ecreation </w:t>
      </w:r>
      <w:r>
        <w:t>h</w:t>
      </w:r>
      <w:r w:rsidRPr="0075151A">
        <w:t>ub in</w:t>
      </w:r>
      <w:r>
        <w:t>vestigation area.</w:t>
      </w:r>
    </w:p>
    <w:p w:rsidR="0075151A" w:rsidRPr="00155355" w:rsidRDefault="00155355" w:rsidP="00155355">
      <w:pPr>
        <w:pStyle w:val="PPVBody"/>
      </w:pPr>
      <w:r>
        <w:t>K</w:t>
      </w:r>
      <w:r w:rsidRPr="00155355">
        <w:t>ador relied</w:t>
      </w:r>
      <w:r w:rsidR="00406A6C">
        <w:t xml:space="preserve"> on the expert evidence of:</w:t>
      </w:r>
    </w:p>
    <w:p w:rsidR="0075151A" w:rsidRPr="00155355" w:rsidRDefault="00155355" w:rsidP="00155355">
      <w:pPr>
        <w:pStyle w:val="PPVBullet1"/>
      </w:pPr>
      <w:r>
        <w:t>David Song</w:t>
      </w:r>
      <w:r w:rsidR="0075151A" w:rsidRPr="00155355">
        <w:t xml:space="preserve"> in relation to to</w:t>
      </w:r>
      <w:r w:rsidR="00406A6C">
        <w:t>wn planning considerations</w:t>
      </w:r>
    </w:p>
    <w:p w:rsidR="00DF38AE" w:rsidRDefault="00155355" w:rsidP="00155355">
      <w:pPr>
        <w:pStyle w:val="PPVBullet1"/>
      </w:pPr>
      <w:r>
        <w:t xml:space="preserve">Jason Walsh </w:t>
      </w:r>
      <w:r w:rsidR="0075151A" w:rsidRPr="00155355">
        <w:t>in relation to parking and traffic matters.</w:t>
      </w:r>
    </w:p>
    <w:p w:rsidR="00DF38AE" w:rsidRPr="001128FF" w:rsidRDefault="00B84FE5" w:rsidP="0093185C">
      <w:pPr>
        <w:pStyle w:val="PPVBody"/>
      </w:pPr>
      <w:r w:rsidRPr="001128FF">
        <w:t>It was submitted that t</w:t>
      </w:r>
      <w:r w:rsidR="0075151A" w:rsidRPr="001128FF">
        <w:t xml:space="preserve">here </w:t>
      </w:r>
      <w:r w:rsidR="00406A6C" w:rsidRPr="001128FF">
        <w:t>was</w:t>
      </w:r>
      <w:r w:rsidR="0075151A" w:rsidRPr="001128FF">
        <w:t xml:space="preserve"> no planning benefit in applying a reduced height to the southern part of the </w:t>
      </w:r>
      <w:r w:rsidR="00406A6C" w:rsidRPr="001128FF">
        <w:t>site</w:t>
      </w:r>
      <w:r w:rsidR="0075151A" w:rsidRPr="001128FF">
        <w:t>,</w:t>
      </w:r>
      <w:r w:rsidR="00406A6C" w:rsidRPr="001128FF">
        <w:t xml:space="preserve"> as there wa</w:t>
      </w:r>
      <w:r w:rsidR="0075151A" w:rsidRPr="001128FF">
        <w:t>s no need to transition building scale down towards the Northport Oval, and Boundary Street forms a logical boundary to higher form</w:t>
      </w:r>
      <w:r w:rsidR="00AD2995" w:rsidRPr="001128FF">
        <w:t xml:space="preserve">.  </w:t>
      </w:r>
      <w:r w:rsidR="00406A6C" w:rsidRPr="001128FF">
        <w:t>It was submitted that t</w:t>
      </w:r>
      <w:r w:rsidR="0075151A" w:rsidRPr="001128FF">
        <w:t>he no</w:t>
      </w:r>
      <w:r w:rsidR="00406A6C" w:rsidRPr="001128FF">
        <w:t>minated 12 storey height limit wa</w:t>
      </w:r>
      <w:r w:rsidR="0075151A" w:rsidRPr="001128FF">
        <w:t>s unjustified, given the proposed</w:t>
      </w:r>
      <w:r w:rsidR="00B0216B">
        <w:t>,</w:t>
      </w:r>
      <w:r w:rsidR="0075151A" w:rsidRPr="001128FF">
        <w:t xml:space="preserve"> generally higher scale of development to the east of Boundary Street</w:t>
      </w:r>
      <w:r w:rsidR="00406A6C" w:rsidRPr="001128FF">
        <w:t>.</w:t>
      </w:r>
    </w:p>
    <w:p w:rsidR="0093185C" w:rsidRDefault="0093185C" w:rsidP="0093185C">
      <w:pPr>
        <w:pStyle w:val="PPVBody"/>
      </w:pPr>
      <w:r w:rsidRPr="001128FF">
        <w:t xml:space="preserve">Mr Walsh submitted traffic evidence </w:t>
      </w:r>
      <w:r w:rsidR="00947DE7">
        <w:t>and</w:t>
      </w:r>
      <w:r w:rsidR="00DF62AD" w:rsidRPr="001128FF">
        <w:t xml:space="preserve"> noted</w:t>
      </w:r>
      <w:r w:rsidR="00DF62AD">
        <w:t xml:space="preserve"> that t</w:t>
      </w:r>
      <w:r>
        <w:t>he site is located towards the West Gate Freeway and as such, has limited permeability and no connection to the east until Munro Street (approximately 300 metres south of the site).  In this regar</w:t>
      </w:r>
      <w:r w:rsidR="00DF62AD">
        <w:t>d, permeability is sought north–</w:t>
      </w:r>
      <w:r>
        <w:t>south through this area to access the broader road network and proposed facilities.</w:t>
      </w:r>
    </w:p>
    <w:p w:rsidR="0093185C" w:rsidRDefault="00CF0B92" w:rsidP="0093185C">
      <w:pPr>
        <w:pStyle w:val="PPVBody"/>
      </w:pPr>
      <w:r>
        <w:t>Mr Walsh’s evidence was that</w:t>
      </w:r>
      <w:r w:rsidR="00DF62AD">
        <w:t xml:space="preserve"> </w:t>
      </w:r>
      <w:r w:rsidR="0093185C">
        <w:t>it seems illogical to close part of White Street and Gittus Street, and replace those connections with a new road through the site.  This road encumbers the subject land without benefit</w:t>
      </w:r>
      <w:r w:rsidR="00FF1251">
        <w:t>ing</w:t>
      </w:r>
      <w:r w:rsidR="0093185C">
        <w:t xml:space="preserve"> others.  The new roads forms a cross intersection and would desirably be signalised</w:t>
      </w:r>
      <w:r>
        <w:t xml:space="preserve">, creating </w:t>
      </w:r>
      <w:r w:rsidR="0093185C">
        <w:t>the need for further infrastructure and cost when the existing network is sufficient.  Mr Walsh is of the view that this road is not necessary and could be deleted from the plan.</w:t>
      </w:r>
    </w:p>
    <w:p w:rsidR="0093185C" w:rsidRPr="0093185C" w:rsidRDefault="0093185C" w:rsidP="0093185C">
      <w:pPr>
        <w:pStyle w:val="PPVBody"/>
        <w:rPr>
          <w:rFonts w:asciiTheme="minorHAnsi" w:hAnsiTheme="minorHAnsi"/>
        </w:rPr>
      </w:pPr>
      <w:r>
        <w:rPr>
          <w:rFonts w:asciiTheme="minorHAnsi" w:hAnsiTheme="minorHAnsi"/>
        </w:rPr>
        <w:t>The Minister responded that Gittus Street and White Street (west end) road closures provide valuable open space to an area that is lacking</w:t>
      </w:r>
      <w:r w:rsidR="00CF0B92">
        <w:rPr>
          <w:rFonts w:asciiTheme="minorHAnsi" w:hAnsiTheme="minorHAnsi"/>
        </w:rPr>
        <w:t xml:space="preserve"> in open space</w:t>
      </w:r>
      <w:r>
        <w:rPr>
          <w:rFonts w:asciiTheme="minorHAnsi" w:hAnsiTheme="minorHAnsi"/>
        </w:rPr>
        <w:t>.</w:t>
      </w:r>
    </w:p>
    <w:p w:rsidR="00DF62AD" w:rsidRDefault="009A496E" w:rsidP="009A496E">
      <w:pPr>
        <w:pStyle w:val="PPVBody"/>
      </w:pPr>
      <w:r>
        <w:t>The Review Pa</w:t>
      </w:r>
      <w:r w:rsidR="001128FF">
        <w:t xml:space="preserve">nel agrees with Mr Walsh </w:t>
      </w:r>
      <w:r>
        <w:t>that the proposed road closures and associated new road through this site are generally not required on traffic engineering grounds</w:t>
      </w:r>
      <w:r w:rsidR="00CF0B92">
        <w:t xml:space="preserve">.  </w:t>
      </w:r>
      <w:r>
        <w:t>When looking holistically at the proposed road network for the land east of Boundary Street</w:t>
      </w:r>
      <w:r w:rsidR="00CF0B92">
        <w:t xml:space="preserve">, </w:t>
      </w:r>
      <w:r>
        <w:t>Brady Stre</w:t>
      </w:r>
      <w:r w:rsidR="00DF62AD">
        <w:t xml:space="preserve">et, </w:t>
      </w:r>
      <w:r w:rsidR="00CF0B92">
        <w:t xml:space="preserve">the </w:t>
      </w:r>
      <w:r w:rsidR="00DF62AD">
        <w:t>proposed road–</w:t>
      </w:r>
      <w:r>
        <w:t>Woodruff Street (generall</w:t>
      </w:r>
      <w:r w:rsidR="001C59F2">
        <w:t>y midblock) and Johnson Street–</w:t>
      </w:r>
      <w:r w:rsidRPr="0091074C">
        <w:t>Gove</w:t>
      </w:r>
      <w:r w:rsidR="0091074C" w:rsidRPr="0091074C">
        <w:t>r</w:t>
      </w:r>
      <w:r w:rsidRPr="0091074C">
        <w:t>nor</w:t>
      </w:r>
      <w:r>
        <w:t xml:space="preserve"> Road </w:t>
      </w:r>
      <w:r w:rsidR="001C59F2">
        <w:t>(</w:t>
      </w:r>
      <w:r>
        <w:t>to a lesser extent due to the narrower road reservation) at the southern end provides a level of connectivity.</w:t>
      </w:r>
      <w:r w:rsidR="00CF0B92">
        <w:t xml:space="preserve">  However, broader elements such as open space need to be considered.  </w:t>
      </w:r>
      <w:r w:rsidR="00DF62AD">
        <w:t xml:space="preserve">The Review Panel does not consider that </w:t>
      </w:r>
      <w:r w:rsidR="001128FF">
        <w:t>any</w:t>
      </w:r>
      <w:r w:rsidR="00DF62AD">
        <w:t xml:space="preserve"> change is warranted</w:t>
      </w:r>
      <w:r w:rsidR="001C59F2">
        <w:t xml:space="preserve"> to the proposed road and open space network</w:t>
      </w:r>
      <w:r w:rsidR="00DF62AD">
        <w:t>.</w:t>
      </w:r>
    </w:p>
    <w:p w:rsidR="00DF62AD" w:rsidRDefault="001128FF" w:rsidP="00650EE2">
      <w:pPr>
        <w:pStyle w:val="PPVBody"/>
      </w:pPr>
      <w:r>
        <w:t>In terms of the heights</w:t>
      </w:r>
      <w:r w:rsidR="00A10324">
        <w:t xml:space="preserve">, the Review Panel accepts that the heights in this area </w:t>
      </w:r>
      <w:r w:rsidR="00CF0B92">
        <w:t>should</w:t>
      </w:r>
      <w:r w:rsidR="00A10324">
        <w:t xml:space="preserve"> be reduced to transition to the existing residential areas and North Port Oval.  It is difficult to respond to submissions about individual sites without considering the broader impact of the development of the Precinct if all similar sites were treated the same.  Given the density and other controls that apply the Review Panel does not think that height will </w:t>
      </w:r>
      <w:r w:rsidR="00CF0B92">
        <w:t xml:space="preserve">be </w:t>
      </w:r>
      <w:r w:rsidR="00A10324">
        <w:t xml:space="preserve">the main detriment </w:t>
      </w:r>
      <w:r w:rsidR="00CF0B92">
        <w:t xml:space="preserve">to </w:t>
      </w:r>
      <w:r w:rsidR="00A10324">
        <w:t xml:space="preserve">development yield.  The </w:t>
      </w:r>
      <w:r w:rsidR="0091074C">
        <w:t>appropriateness</w:t>
      </w:r>
      <w:r w:rsidR="00A10324">
        <w:t xml:space="preserve"> of the FARs is discussed </w:t>
      </w:r>
      <w:r w:rsidR="00C60AEA">
        <w:t>in the Overview Report.</w:t>
      </w:r>
    </w:p>
    <w:p w:rsidR="009D2590" w:rsidRPr="00991061" w:rsidRDefault="00991061" w:rsidP="00991061">
      <w:pPr>
        <w:pStyle w:val="Heading2"/>
      </w:pPr>
      <w:bookmarkStart w:id="136" w:name="_Toc519849009"/>
      <w:r w:rsidRPr="00991061">
        <w:t xml:space="preserve">11 Munro Street and 282, 286, </w:t>
      </w:r>
      <w:r w:rsidR="007C43B0" w:rsidRPr="00991061">
        <w:t>290 Normanby Road</w:t>
      </w:r>
      <w:r w:rsidR="00C60AEA">
        <w:t xml:space="preserve"> (</w:t>
      </w:r>
      <w:r w:rsidR="00B0216B">
        <w:t>S169</w:t>
      </w:r>
      <w:r w:rsidR="00C60AEA">
        <w:t>)</w:t>
      </w:r>
      <w:bookmarkEnd w:id="136"/>
    </w:p>
    <w:p w:rsidR="00DF38AE" w:rsidRDefault="00991061" w:rsidP="00991061">
      <w:pPr>
        <w:pStyle w:val="PPVBody"/>
      </w:pPr>
      <w:r w:rsidRPr="00991061">
        <w:t>The</w:t>
      </w:r>
      <w:r w:rsidR="00A10FB4" w:rsidRPr="00991061">
        <w:t xml:space="preserve"> Teller Group Pty L</w:t>
      </w:r>
      <w:r w:rsidR="00B0216B">
        <w:t>td</w:t>
      </w:r>
      <w:r w:rsidRPr="00991061">
        <w:t xml:space="preserve"> </w:t>
      </w:r>
      <w:r w:rsidR="00C60AEA">
        <w:t>owns</w:t>
      </w:r>
      <w:r w:rsidRPr="00991061">
        <w:t xml:space="preserve"> 11 Munro Street and 282, 286 and </w:t>
      </w:r>
      <w:r w:rsidR="00A10FB4" w:rsidRPr="00991061">
        <w:t>290 Normanby Road, Port Melbourne</w:t>
      </w:r>
      <w:r>
        <w:t>.</w:t>
      </w:r>
      <w:r w:rsidR="00CF0B92">
        <w:t xml:space="preserve">  </w:t>
      </w:r>
      <w:r w:rsidR="00AD2995" w:rsidRPr="00991061">
        <w:t>T</w:t>
      </w:r>
      <w:r w:rsidR="00A10FB4" w:rsidRPr="00991061">
        <w:t>his site is a large island site of 5</w:t>
      </w:r>
      <w:r>
        <w:t>,</w:t>
      </w:r>
      <w:r w:rsidR="00A10FB4" w:rsidRPr="00991061">
        <w:t>200 square metres and is located on the edge of the Sandridge Precinct.</w:t>
      </w:r>
      <w:r w:rsidR="00CF0B92">
        <w:t xml:space="preserve">  </w:t>
      </w:r>
      <w:r>
        <w:t>Teller broadly supported</w:t>
      </w:r>
      <w:r w:rsidR="00A10FB4" w:rsidRPr="00991061">
        <w:t xml:space="preserve"> the concept of the Framework and </w:t>
      </w:r>
      <w:r>
        <w:t xml:space="preserve">the draft Amendment, but sought </w:t>
      </w:r>
      <w:r w:rsidR="00A10FB4" w:rsidRPr="00991061">
        <w:t>changes so that:</w:t>
      </w:r>
    </w:p>
    <w:p w:rsidR="00A10FB4" w:rsidRPr="00991061" w:rsidRDefault="00991061" w:rsidP="00991061">
      <w:pPr>
        <w:pStyle w:val="PPVBullet1"/>
      </w:pPr>
      <w:r w:rsidRPr="00991061">
        <w:t>th</w:t>
      </w:r>
      <w:r w:rsidR="00A10FB4" w:rsidRPr="00991061">
        <w:t>e proposed mandatory building height for the site</w:t>
      </w:r>
      <w:r>
        <w:t xml:space="preserve"> is changed to ‘discretionary’</w:t>
      </w:r>
    </w:p>
    <w:p w:rsidR="00A10FB4" w:rsidRPr="00991061" w:rsidRDefault="00991061" w:rsidP="00991061">
      <w:pPr>
        <w:pStyle w:val="PPVBullet1"/>
      </w:pPr>
      <w:r w:rsidRPr="00991061">
        <w:t>th</w:t>
      </w:r>
      <w:r w:rsidR="00A10FB4" w:rsidRPr="00991061">
        <w:t xml:space="preserve">e proposed FAR be increased to better reflect the site’s </w:t>
      </w:r>
      <w:r w:rsidRPr="00991061">
        <w:t>con</w:t>
      </w:r>
      <w:r w:rsidR="00A10FB4" w:rsidRPr="00991061">
        <w:t>text and a</w:t>
      </w:r>
      <w:r>
        <w:t xml:space="preserve"> discretionary building height</w:t>
      </w:r>
    </w:p>
    <w:p w:rsidR="00DF38AE" w:rsidRDefault="00991061" w:rsidP="00991061">
      <w:pPr>
        <w:pStyle w:val="PPVBullet1"/>
      </w:pPr>
      <w:r w:rsidRPr="00991061">
        <w:t>th</w:t>
      </w:r>
      <w:r w:rsidR="00A10FB4" w:rsidRPr="00991061">
        <w:t>e proposed discretionary maximum dwelling density be reconsidered in light of a discretionary building height.</w:t>
      </w:r>
    </w:p>
    <w:p w:rsidR="00A10FB4" w:rsidRDefault="00C60AEA" w:rsidP="00A10FB4">
      <w:pPr>
        <w:pStyle w:val="PPVBody"/>
      </w:pPr>
      <w:r>
        <w:t>The control</w:t>
      </w:r>
      <w:r w:rsidR="00CF0B92">
        <w:t>s</w:t>
      </w:r>
      <w:r>
        <w:t xml:space="preserve"> for Normanby Road have been determined to set an appropriate interface with the existing residential area.  The </w:t>
      </w:r>
      <w:r w:rsidR="00B0216B">
        <w:t>height</w:t>
      </w:r>
      <w:r>
        <w:t xml:space="preserve"> and street wall requires have been modified since exhibition and the Review Panel supports the current </w:t>
      </w:r>
      <w:r w:rsidR="00CF0B92">
        <w:t xml:space="preserve">(Part C) </w:t>
      </w:r>
      <w:r>
        <w:t>approach.</w:t>
      </w:r>
    </w:p>
    <w:p w:rsidR="009D2590" w:rsidRDefault="00E95D1F" w:rsidP="00444067">
      <w:pPr>
        <w:pStyle w:val="Heading2"/>
      </w:pPr>
      <w:bookmarkStart w:id="137" w:name="_Toc519849010"/>
      <w:r>
        <w:t>118 Bertie</w:t>
      </w:r>
      <w:r w:rsidR="0099011B">
        <w:t xml:space="preserve"> </w:t>
      </w:r>
      <w:r w:rsidR="00BA473B">
        <w:t>S</w:t>
      </w:r>
      <w:r w:rsidR="0099011B">
        <w:t>treet</w:t>
      </w:r>
      <w:r w:rsidR="00D6396C">
        <w:t xml:space="preserve"> (</w:t>
      </w:r>
      <w:r w:rsidR="00B0216B">
        <w:t>S182</w:t>
      </w:r>
      <w:r w:rsidR="00D6396C">
        <w:t>)</w:t>
      </w:r>
      <w:bookmarkEnd w:id="137"/>
    </w:p>
    <w:p w:rsidR="005653A8" w:rsidRDefault="006201FF" w:rsidP="00CF0B92">
      <w:pPr>
        <w:pStyle w:val="PPVBody"/>
      </w:pPr>
      <w:r w:rsidRPr="005653A8">
        <w:t xml:space="preserve">118 Bertie Street, Port Melbourne, is located within a ‘core area’ </w:t>
      </w:r>
      <w:r w:rsidR="005653A8">
        <w:t>of the Sandridge Precinct</w:t>
      </w:r>
      <w:r w:rsidRPr="005653A8">
        <w:t>.</w:t>
      </w:r>
      <w:r w:rsidR="00CF0B92">
        <w:t xml:space="preserve">  </w:t>
      </w:r>
      <w:r w:rsidR="00DC3870">
        <w:t xml:space="preserve">Lateral Estates </w:t>
      </w:r>
      <w:r w:rsidRPr="005653A8">
        <w:t>currently have a planning permit application for an 18-storey mixed use development, which</w:t>
      </w:r>
      <w:r w:rsidR="005653A8">
        <w:t xml:space="preserve"> </w:t>
      </w:r>
      <w:r w:rsidRPr="005653A8">
        <w:t>was submitted in June 2016</w:t>
      </w:r>
      <w:r w:rsidR="00AD2995" w:rsidRPr="005653A8">
        <w:t>.  F</w:t>
      </w:r>
      <w:r w:rsidRPr="005653A8">
        <w:t xml:space="preserve">ollowing the </w:t>
      </w:r>
      <w:r w:rsidR="00CF0B92">
        <w:t>introduction of the interim controls through A</w:t>
      </w:r>
      <w:r w:rsidRPr="005653A8">
        <w:t xml:space="preserve">mendment </w:t>
      </w:r>
      <w:r w:rsidR="00CF0B92">
        <w:t xml:space="preserve">GC50, </w:t>
      </w:r>
      <w:r w:rsidRPr="005653A8">
        <w:t>the original proposal underwent a significant redesign given that no transitional</w:t>
      </w:r>
      <w:r w:rsidR="005653A8">
        <w:t xml:space="preserve"> </w:t>
      </w:r>
      <w:r w:rsidRPr="005653A8">
        <w:t>provisions were incorporated in the amendment</w:t>
      </w:r>
      <w:r w:rsidR="005653A8">
        <w:t>.</w:t>
      </w:r>
    </w:p>
    <w:p w:rsidR="006201FF" w:rsidRPr="005653A8" w:rsidRDefault="005653A8" w:rsidP="005653A8">
      <w:pPr>
        <w:pStyle w:val="PPVBody"/>
      </w:pPr>
      <w:r>
        <w:t>It was submitted that the</w:t>
      </w:r>
      <w:r w:rsidR="006201FF" w:rsidRPr="005653A8">
        <w:t xml:space="preserve"> </w:t>
      </w:r>
      <w:r>
        <w:t>draft Amendment</w:t>
      </w:r>
      <w:r w:rsidR="006201FF" w:rsidRPr="005653A8">
        <w:t xml:space="preserve"> </w:t>
      </w:r>
      <w:r>
        <w:t xml:space="preserve">would </w:t>
      </w:r>
      <w:r w:rsidR="006201FF" w:rsidRPr="005653A8">
        <w:t>have</w:t>
      </w:r>
      <w:r w:rsidRPr="005653A8">
        <w:t xml:space="preserve"> </w:t>
      </w:r>
      <w:r w:rsidR="006201FF" w:rsidRPr="005653A8">
        <w:t xml:space="preserve">a significant impact </w:t>
      </w:r>
      <w:r>
        <w:t>on the site</w:t>
      </w:r>
      <w:r w:rsidR="006201FF" w:rsidRPr="005653A8">
        <w:t xml:space="preserve"> and the current planning permit application</w:t>
      </w:r>
      <w:r>
        <w:t>, specifically the</w:t>
      </w:r>
      <w:r w:rsidR="006201FF" w:rsidRPr="005653A8">
        <w:t>:</w:t>
      </w:r>
    </w:p>
    <w:p w:rsidR="00DC3870" w:rsidRDefault="006201FF" w:rsidP="005653A8">
      <w:pPr>
        <w:pStyle w:val="PPVBullet1"/>
      </w:pPr>
      <w:r w:rsidRPr="005653A8">
        <w:t>FAR</w:t>
      </w:r>
      <w:r w:rsidR="00DC3870">
        <w:t>s</w:t>
      </w:r>
    </w:p>
    <w:p w:rsidR="006201FF" w:rsidRPr="005653A8" w:rsidRDefault="00DC3870" w:rsidP="005653A8">
      <w:pPr>
        <w:pStyle w:val="PPVBullet1"/>
      </w:pPr>
      <w:r>
        <w:t xml:space="preserve">minimum employment </w:t>
      </w:r>
      <w:r w:rsidR="005653A8">
        <w:t>floor area</w:t>
      </w:r>
      <w:r>
        <w:t xml:space="preserve"> requirements</w:t>
      </w:r>
    </w:p>
    <w:p w:rsidR="006201FF" w:rsidRPr="005653A8" w:rsidRDefault="005653A8" w:rsidP="00DC3870">
      <w:pPr>
        <w:pStyle w:val="PPVBullet1"/>
      </w:pPr>
      <w:r w:rsidRPr="005653A8">
        <w:t>m</w:t>
      </w:r>
      <w:r w:rsidR="006201FF" w:rsidRPr="005653A8">
        <w:t>aximum dwelling densi</w:t>
      </w:r>
      <w:r>
        <w:t xml:space="preserve">ty </w:t>
      </w:r>
    </w:p>
    <w:p w:rsidR="006201FF" w:rsidRPr="005653A8" w:rsidRDefault="005653A8" w:rsidP="005653A8">
      <w:pPr>
        <w:pStyle w:val="PPVBullet1"/>
      </w:pPr>
      <w:r w:rsidRPr="005653A8">
        <w:t>12</w:t>
      </w:r>
      <w:r w:rsidR="00947DE7">
        <w:t xml:space="preserve"> </w:t>
      </w:r>
      <w:r w:rsidR="006201FF" w:rsidRPr="005653A8">
        <w:t>metre</w:t>
      </w:r>
      <w:r w:rsidR="00947DE7">
        <w:t xml:space="preserve"> </w:t>
      </w:r>
      <w:r w:rsidR="006201FF" w:rsidRPr="005653A8">
        <w:t xml:space="preserve">wide road proposed along the southeast property boundary, within the </w:t>
      </w:r>
      <w:r>
        <w:t>site</w:t>
      </w:r>
    </w:p>
    <w:p w:rsidR="006201FF" w:rsidRPr="005653A8" w:rsidRDefault="005653A8" w:rsidP="005653A8">
      <w:pPr>
        <w:pStyle w:val="PPVBullet1"/>
      </w:pPr>
      <w:r w:rsidRPr="005653A8">
        <w:t>m</w:t>
      </w:r>
      <w:r w:rsidR="006201FF" w:rsidRPr="005653A8">
        <w:t xml:space="preserve">aximum building height of 12 storeys for the front half of the land and unlimited </w:t>
      </w:r>
      <w:r w:rsidRPr="005653A8">
        <w:t>at t</w:t>
      </w:r>
      <w:r w:rsidR="006201FF" w:rsidRPr="005653A8">
        <w:t>he rear half of the land</w:t>
      </w:r>
      <w:r>
        <w:t xml:space="preserve"> – t</w:t>
      </w:r>
      <w:r w:rsidR="006201FF" w:rsidRPr="005653A8">
        <w:t>he</w:t>
      </w:r>
      <w:r>
        <w:t xml:space="preserve"> </w:t>
      </w:r>
      <w:r w:rsidR="006201FF" w:rsidRPr="005653A8">
        <w:t xml:space="preserve">exact location where the height requirements </w:t>
      </w:r>
      <w:r w:rsidRPr="005653A8">
        <w:t>cha</w:t>
      </w:r>
      <w:r>
        <w:t>nge is not clear</w:t>
      </w:r>
    </w:p>
    <w:p w:rsidR="006201FF" w:rsidRPr="005653A8" w:rsidRDefault="005653A8" w:rsidP="005653A8">
      <w:pPr>
        <w:pStyle w:val="PPVBullet1"/>
      </w:pPr>
      <w:r w:rsidRPr="005653A8">
        <w:t>m</w:t>
      </w:r>
      <w:r w:rsidR="006201FF" w:rsidRPr="005653A8">
        <w:t>andatory requirement restricting additional overshadowing t</w:t>
      </w:r>
      <w:r>
        <w:t>o proposed parks</w:t>
      </w:r>
    </w:p>
    <w:p w:rsidR="006201FF" w:rsidRPr="005653A8" w:rsidRDefault="005653A8" w:rsidP="005653A8">
      <w:pPr>
        <w:pStyle w:val="PPVBullet1"/>
      </w:pPr>
      <w:r w:rsidRPr="005653A8">
        <w:t>two</w:t>
      </w:r>
      <w:r w:rsidR="006201FF" w:rsidRPr="005653A8">
        <w:t xml:space="preserve"> proposed parks located within proximity to the subject site.</w:t>
      </w:r>
    </w:p>
    <w:p w:rsidR="00DC3870" w:rsidRDefault="00DC3870" w:rsidP="0054678B">
      <w:pPr>
        <w:pStyle w:val="PPVBody"/>
      </w:pPr>
      <w:r>
        <w:t>Lateral Estates submitted that urban design analysis confirms only a four storey development would be viable (compared with the current controls allow 18 storey).</w:t>
      </w:r>
    </w:p>
    <w:p w:rsidR="00D6396C" w:rsidRDefault="00D6396C" w:rsidP="00D6396C">
      <w:pPr>
        <w:pStyle w:val="PPVBody"/>
      </w:pPr>
      <w:r>
        <w:t>Lateral Estates specifically objected to the 12 metre road proposed along the south east boundary within the site on the following grounds:</w:t>
      </w:r>
    </w:p>
    <w:p w:rsidR="00D6396C" w:rsidRDefault="00D6396C" w:rsidP="00D6396C">
      <w:pPr>
        <w:pStyle w:val="PPVBullet1"/>
      </w:pPr>
      <w:r>
        <w:t>three previous iterations of the Fishermans Bend Framework Plan show the road located on a neighbouring site</w:t>
      </w:r>
    </w:p>
    <w:p w:rsidR="00D6396C" w:rsidRDefault="00D6396C" w:rsidP="00D6396C">
      <w:pPr>
        <w:pStyle w:val="PPVBullet1"/>
      </w:pPr>
      <w:r>
        <w:t>proposed road results in a loss of over one</w:t>
      </w:r>
      <w:r w:rsidR="00FF1251">
        <w:t>-</w:t>
      </w:r>
      <w:r>
        <w:t>third developable area</w:t>
      </w:r>
    </w:p>
    <w:p w:rsidR="00D6396C" w:rsidRDefault="00D6396C" w:rsidP="00D6396C">
      <w:pPr>
        <w:pStyle w:val="PPVBullet1"/>
      </w:pPr>
      <w:r>
        <w:t>neighbouring sites are larger could reasonably accommodate the road</w:t>
      </w:r>
      <w:r w:rsidR="004742B5">
        <w:t>.</w:t>
      </w:r>
    </w:p>
    <w:p w:rsidR="00D6396C" w:rsidRDefault="0011148F" w:rsidP="009D2590">
      <w:pPr>
        <w:pStyle w:val="PPVBody"/>
      </w:pPr>
      <w:r>
        <w:t xml:space="preserve">The </w:t>
      </w:r>
      <w:r w:rsidR="005653A8">
        <w:t>118 Bertie</w:t>
      </w:r>
      <w:r w:rsidR="003E19B5" w:rsidRPr="003E19B5">
        <w:t xml:space="preserve"> Street property in particular has been identified by both Ms</w:t>
      </w:r>
      <w:r w:rsidR="005653A8">
        <w:t xml:space="preserve"> </w:t>
      </w:r>
      <w:r w:rsidR="00AD2995" w:rsidRPr="003E19B5">
        <w:t>H</w:t>
      </w:r>
      <w:r w:rsidR="003E19B5" w:rsidRPr="003E19B5">
        <w:t>odyl</w:t>
      </w:r>
      <w:r w:rsidR="00D6396C">
        <w:rPr>
          <w:rStyle w:val="FootnoteReference"/>
        </w:rPr>
        <w:footnoteReference w:id="16"/>
      </w:r>
      <w:r w:rsidR="003E19B5" w:rsidRPr="003E19B5">
        <w:t xml:space="preserve"> and </w:t>
      </w:r>
      <w:r w:rsidR="00FF1251">
        <w:t>Mr</w:t>
      </w:r>
      <w:r w:rsidR="005653A8">
        <w:t xml:space="preserve"> </w:t>
      </w:r>
      <w:r w:rsidR="00AD2995" w:rsidRPr="003E19B5">
        <w:t>S</w:t>
      </w:r>
      <w:r w:rsidR="003E19B5" w:rsidRPr="003E19B5">
        <w:t>heppard</w:t>
      </w:r>
      <w:r w:rsidR="00D6396C">
        <w:rPr>
          <w:rStyle w:val="FootnoteReference"/>
        </w:rPr>
        <w:footnoteReference w:id="17"/>
      </w:r>
      <w:r w:rsidR="003E19B5" w:rsidRPr="003E19B5">
        <w:t xml:space="preserve"> as being incapable of achieving its maximum </w:t>
      </w:r>
      <w:r w:rsidR="00DC3870">
        <w:t>FAR</w:t>
      </w:r>
      <w:r w:rsidR="00DC3870" w:rsidRPr="003E19B5">
        <w:t xml:space="preserve"> </w:t>
      </w:r>
      <w:r w:rsidR="003E19B5" w:rsidRPr="003E19B5">
        <w:t>under the Amendment</w:t>
      </w:r>
      <w:r w:rsidR="00AD2995" w:rsidRPr="003E19B5">
        <w:t>.</w:t>
      </w:r>
      <w:r w:rsidR="00D6396C">
        <w:t xml:space="preserve"> </w:t>
      </w:r>
      <w:r w:rsidR="00AD2995">
        <w:t xml:space="preserve"> </w:t>
      </w:r>
      <w:r w:rsidR="00D6396C">
        <w:t>It was submitted that o</w:t>
      </w:r>
      <w:r w:rsidR="003E19B5" w:rsidRPr="003E19B5">
        <w:t>ne of the significant constraints apart from the FAR and height issues, is the new 12 metre wide lane on the property's southern boundary</w:t>
      </w:r>
      <w:r w:rsidR="00AD2995" w:rsidRPr="003E19B5">
        <w:t>.</w:t>
      </w:r>
    </w:p>
    <w:p w:rsidR="00D6396C" w:rsidRDefault="00AD2995" w:rsidP="009D2590">
      <w:pPr>
        <w:pStyle w:val="PPVBody"/>
      </w:pPr>
      <w:r w:rsidRPr="003E19B5">
        <w:t>I</w:t>
      </w:r>
      <w:r w:rsidR="003E19B5" w:rsidRPr="003E19B5">
        <w:t>t would appear from the material submitted on behalf of the Minister</w:t>
      </w:r>
      <w:r w:rsidR="00D6396C">
        <w:t xml:space="preserve"> during the Hearing</w:t>
      </w:r>
      <w:r w:rsidR="003E19B5" w:rsidRPr="003E19B5">
        <w:t xml:space="preserve"> that this </w:t>
      </w:r>
      <w:r w:rsidR="00DC3870">
        <w:t xml:space="preserve">road or </w:t>
      </w:r>
      <w:r w:rsidR="003E19B5" w:rsidRPr="003E19B5">
        <w:t xml:space="preserve">lane may have moved to the abutting property although </w:t>
      </w:r>
      <w:r w:rsidR="00D6396C">
        <w:t>Port Phillip did not accept that.</w:t>
      </w:r>
    </w:p>
    <w:p w:rsidR="00D6396C" w:rsidRDefault="00D6396C" w:rsidP="009D2590">
      <w:pPr>
        <w:pStyle w:val="PPVBody"/>
      </w:pPr>
      <w:r>
        <w:t>Lateral Estates submitted that h</w:t>
      </w:r>
      <w:r w:rsidR="003E19B5" w:rsidRPr="003E19B5">
        <w:t>aving i</w:t>
      </w:r>
      <w:r>
        <w:t xml:space="preserve">dentified that this property </w:t>
      </w:r>
      <w:r w:rsidR="003E19B5" w:rsidRPr="003E19B5">
        <w:t xml:space="preserve">is incapable of achieving any reasonable development yield, </w:t>
      </w:r>
      <w:r>
        <w:t xml:space="preserve">the submitters had been </w:t>
      </w:r>
      <w:r w:rsidR="003E19B5" w:rsidRPr="003E19B5">
        <w:t>left in a complete vacuum as to what is to be done about it</w:t>
      </w:r>
      <w:r w:rsidR="00AD2995" w:rsidRPr="003E19B5">
        <w:t>.</w:t>
      </w:r>
    </w:p>
    <w:p w:rsidR="009F3FF0" w:rsidRDefault="009F3FF0" w:rsidP="009F3FF0">
      <w:pPr>
        <w:pStyle w:val="PPVBody"/>
      </w:pPr>
      <w:r>
        <w:t xml:space="preserve">Mr Sheppard prepared a concept plan showing </w:t>
      </w:r>
      <w:r w:rsidR="006F1831">
        <w:t>alternative laneway locations</w:t>
      </w:r>
      <w:r w:rsidR="002E2E10">
        <w:t xml:space="preserve"> </w:t>
      </w:r>
      <w:r w:rsidR="006F1831">
        <w:t>(</w:t>
      </w:r>
      <w:r w:rsidR="006F1831">
        <w:fldChar w:fldCharType="begin"/>
      </w:r>
      <w:r w:rsidR="006F1831">
        <w:instrText xml:space="preserve"> REF _Ref519622497 \h </w:instrText>
      </w:r>
      <w:r w:rsidR="006F1831">
        <w:fldChar w:fldCharType="separate"/>
      </w:r>
      <w:r w:rsidR="00AA0E65" w:rsidRPr="00D164A8">
        <w:t xml:space="preserve">Figure </w:t>
      </w:r>
      <w:r w:rsidR="00AA0E65">
        <w:rPr>
          <w:noProof/>
        </w:rPr>
        <w:t>10</w:t>
      </w:r>
      <w:r w:rsidR="006F1831">
        <w:fldChar w:fldCharType="end"/>
      </w:r>
      <w:r>
        <w:t>)</w:t>
      </w:r>
      <w:r w:rsidR="002E2E10">
        <w:t>.</w:t>
      </w:r>
    </w:p>
    <w:p w:rsidR="009F3FF0" w:rsidRDefault="009F3FF0" w:rsidP="009F3FF0">
      <w:pPr>
        <w:pStyle w:val="Caption"/>
      </w:pPr>
      <w:bookmarkStart w:id="138" w:name="_Ref519622497"/>
      <w:bookmarkStart w:id="139" w:name="_Ref518049200"/>
      <w:bookmarkStart w:id="140" w:name="_Toc519849023"/>
      <w:r w:rsidRPr="00D164A8">
        <w:t xml:space="preserve">Figure </w:t>
      </w:r>
      <w:r>
        <w:rPr>
          <w:noProof/>
        </w:rPr>
        <w:fldChar w:fldCharType="begin"/>
      </w:r>
      <w:r>
        <w:rPr>
          <w:noProof/>
        </w:rPr>
        <w:instrText xml:space="preserve"> SEQ Figure \* ARABIC </w:instrText>
      </w:r>
      <w:r>
        <w:rPr>
          <w:noProof/>
        </w:rPr>
        <w:fldChar w:fldCharType="separate"/>
      </w:r>
      <w:r w:rsidR="00AA0E65">
        <w:rPr>
          <w:noProof/>
        </w:rPr>
        <w:t>10</w:t>
      </w:r>
      <w:r>
        <w:rPr>
          <w:noProof/>
        </w:rPr>
        <w:fldChar w:fldCharType="end"/>
      </w:r>
      <w:bookmarkEnd w:id="138"/>
      <w:r w:rsidR="004B5700">
        <w:rPr>
          <w:noProof/>
        </w:rPr>
        <w:t>:</w:t>
      </w:r>
      <w:r>
        <w:tab/>
        <w:t>118 Bertie Street, Port Melbourne – Alternative laneway locations</w:t>
      </w:r>
      <w:bookmarkEnd w:id="139"/>
      <w:bookmarkEnd w:id="140"/>
    </w:p>
    <w:p w:rsidR="009F3FF0" w:rsidRDefault="002E2E10" w:rsidP="009F3FF0">
      <w:pPr>
        <w:pStyle w:val="PPVBody"/>
      </w:pPr>
      <w:r>
        <w:rPr>
          <w:noProof/>
        </w:rPr>
        <w:drawing>
          <wp:inline distT="0" distB="0" distL="0" distR="0" wp14:anchorId="455FEA0D" wp14:editId="02486954">
            <wp:extent cx="4776811" cy="3866742"/>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6811" cy="3866742"/>
                    </a:xfrm>
                    <a:prstGeom prst="rect">
                      <a:avLst/>
                    </a:prstGeom>
                  </pic:spPr>
                </pic:pic>
              </a:graphicData>
            </a:graphic>
          </wp:inline>
        </w:drawing>
      </w:r>
    </w:p>
    <w:p w:rsidR="009F3FF0" w:rsidRDefault="002E2E10" w:rsidP="002E2E10">
      <w:pPr>
        <w:pStyle w:val="PPVSource"/>
      </w:pPr>
      <w:r>
        <w:t xml:space="preserve">Source: </w:t>
      </w:r>
      <w:r w:rsidRPr="00B0216B">
        <w:t>Mr Sheppard Sandridge evidence (D177d)</w:t>
      </w:r>
      <w:r>
        <w:t xml:space="preserve">, page </w:t>
      </w:r>
      <w:r w:rsidRPr="00B0216B">
        <w:t>4</w:t>
      </w:r>
      <w:r>
        <w:t>0</w:t>
      </w:r>
    </w:p>
    <w:p w:rsidR="004A4994" w:rsidRDefault="004A4994" w:rsidP="009A496E">
      <w:pPr>
        <w:pStyle w:val="PPVBody"/>
      </w:pPr>
      <w:r>
        <w:t>The Review Panel agrees that the draft Amendment does restrict the development potential of the site</w:t>
      </w:r>
      <w:r w:rsidR="006D1B95">
        <w:t>, and this was clearly articulated in Ms Hodyl’s evidence</w:t>
      </w:r>
      <w:r>
        <w:t>.  Part of the issue is that the site is restively narrow.</w:t>
      </w:r>
      <w:r w:rsidR="0044681F">
        <w:t xml:space="preserve">  The Review Panel has recommended changes to the DDO which may deliver different development opportunities to the site.</w:t>
      </w:r>
    </w:p>
    <w:p w:rsidR="006D1B95" w:rsidRDefault="006D1B95" w:rsidP="009A496E">
      <w:pPr>
        <w:pStyle w:val="PPVBody"/>
      </w:pPr>
      <w:r>
        <w:t>In any area different sites have different development potential depending on their particular constraints and opportunities.  The issue with this site appears to be the additional constraint imposed by the proposed road.  If this road is need to serve other properties, there may be a case that it does not fall solely to the landowner to provide it.</w:t>
      </w:r>
    </w:p>
    <w:p w:rsidR="001B2787" w:rsidRDefault="001B2787" w:rsidP="009A496E">
      <w:pPr>
        <w:pStyle w:val="PPVBody"/>
      </w:pPr>
      <w:r>
        <w:t>There are potentially two ways to secure a fair outcome for this site:</w:t>
      </w:r>
    </w:p>
    <w:p w:rsidR="001B2787" w:rsidRDefault="001C59F2" w:rsidP="001B2787">
      <w:pPr>
        <w:pStyle w:val="PPVBullet1"/>
      </w:pPr>
      <w:r>
        <w:t>relocate the</w:t>
      </w:r>
      <w:r w:rsidR="001B2787">
        <w:t xml:space="preserve"> </w:t>
      </w:r>
      <w:r w:rsidR="002E2E10">
        <w:t>road</w:t>
      </w:r>
      <w:r w:rsidR="001B2787">
        <w:t xml:space="preserve"> to allow more development on the site</w:t>
      </w:r>
    </w:p>
    <w:p w:rsidR="001B2787" w:rsidRDefault="001C59F2" w:rsidP="001B2787">
      <w:pPr>
        <w:pStyle w:val="PPVBullet1"/>
      </w:pPr>
      <w:r>
        <w:t>compensate</w:t>
      </w:r>
      <w:r w:rsidR="001B2787">
        <w:t xml:space="preserve"> for the loss of value under an infrastructure plan.</w:t>
      </w:r>
    </w:p>
    <w:p w:rsidR="009A496E" w:rsidRDefault="009A496E" w:rsidP="009A496E">
      <w:pPr>
        <w:pStyle w:val="PPVBody"/>
      </w:pPr>
      <w:r>
        <w:t>The Review Panels generally supports Mr Sheppard’s findings and believes that further investigation is appropriate to determine if a more optimal laneway location and width can be resolved for 11</w:t>
      </w:r>
      <w:r w:rsidR="001B2787">
        <w:t>8 Bertie Street, Port Melbourne, as part of t</w:t>
      </w:r>
      <w:r w:rsidR="003B5FA1">
        <w:t>he Precinct</w:t>
      </w:r>
      <w:r w:rsidR="001C59F2">
        <w:t xml:space="preserve"> Plan</w:t>
      </w:r>
      <w:r w:rsidR="001B2787">
        <w:t xml:space="preserve"> process.</w:t>
      </w:r>
    </w:p>
    <w:p w:rsidR="00FD5665" w:rsidRDefault="00FD5665" w:rsidP="00FD5665">
      <w:pPr>
        <w:pStyle w:val="PPVAppendixHeading1"/>
      </w:pPr>
      <w:bookmarkStart w:id="141" w:name="_Toc519698882"/>
      <w:bookmarkEnd w:id="10"/>
      <w:bookmarkEnd w:id="11"/>
      <w:bookmarkEnd w:id="12"/>
      <w:bookmarkEnd w:id="13"/>
      <w:bookmarkEnd w:id="14"/>
      <w:r w:rsidRPr="002F0B81">
        <w:t xml:space="preserve">Appendix </w:t>
      </w:r>
      <w:r w:rsidR="000E1A26">
        <w:t>A</w:t>
      </w:r>
      <w:r>
        <w:tab/>
        <w:t>Document list</w:t>
      </w:r>
      <w:bookmarkEnd w:id="141"/>
    </w:p>
    <w:tbl>
      <w:tblPr>
        <w:tblpPr w:leftFromText="180" w:rightFromText="180" w:vertAnchor="text" w:tblpY="1"/>
        <w:tblOverlap w:val="never"/>
        <w:tblW w:w="9747"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1237"/>
        <w:gridCol w:w="1278"/>
        <w:gridCol w:w="4162"/>
        <w:gridCol w:w="3070"/>
      </w:tblGrid>
      <w:tr w:rsidR="00551095" w:rsidRPr="00526801" w:rsidTr="00FF6C85">
        <w:trPr>
          <w:cantSplit/>
          <w:tblHeader/>
        </w:trPr>
        <w:tc>
          <w:tcPr>
            <w:tcW w:w="1237" w:type="dxa"/>
            <w:shd w:val="clear" w:color="auto" w:fill="215868" w:themeFill="accent5" w:themeFillShade="80"/>
          </w:tcPr>
          <w:p w:rsidR="00551095" w:rsidRPr="00526801" w:rsidRDefault="00551095" w:rsidP="00551095">
            <w:pPr>
              <w:pStyle w:val="PPVTableHeader"/>
            </w:pPr>
            <w:bookmarkStart w:id="142" w:name="_Toc324252655"/>
            <w:r w:rsidRPr="00526801">
              <w:t>No.</w:t>
            </w:r>
          </w:p>
        </w:tc>
        <w:tc>
          <w:tcPr>
            <w:tcW w:w="1278" w:type="dxa"/>
            <w:shd w:val="clear" w:color="auto" w:fill="215868" w:themeFill="accent5" w:themeFillShade="80"/>
          </w:tcPr>
          <w:p w:rsidR="00551095" w:rsidRPr="00526801" w:rsidRDefault="00551095" w:rsidP="00551095">
            <w:pPr>
              <w:pStyle w:val="PPVTableHeader"/>
            </w:pPr>
            <w:r w:rsidRPr="00526801">
              <w:t>Date</w:t>
            </w:r>
          </w:p>
        </w:tc>
        <w:tc>
          <w:tcPr>
            <w:tcW w:w="4162" w:type="dxa"/>
            <w:shd w:val="clear" w:color="auto" w:fill="215868" w:themeFill="accent5" w:themeFillShade="80"/>
          </w:tcPr>
          <w:p w:rsidR="00551095" w:rsidRPr="00526801" w:rsidRDefault="00551095" w:rsidP="00551095">
            <w:pPr>
              <w:pStyle w:val="PPVTableHeader"/>
            </w:pPr>
            <w:r w:rsidRPr="00526801">
              <w:t>Description</w:t>
            </w:r>
          </w:p>
        </w:tc>
        <w:tc>
          <w:tcPr>
            <w:tcW w:w="3070" w:type="dxa"/>
            <w:shd w:val="clear" w:color="auto" w:fill="215868" w:themeFill="accent5" w:themeFillShade="80"/>
          </w:tcPr>
          <w:p w:rsidR="00551095" w:rsidRPr="00526801" w:rsidRDefault="00551095" w:rsidP="00551095">
            <w:pPr>
              <w:pStyle w:val="PPVTableHeader"/>
            </w:pPr>
            <w:r w:rsidRPr="00526801">
              <w:t>Presented by</w:t>
            </w:r>
          </w:p>
        </w:tc>
      </w:tr>
      <w:tr w:rsidR="00551095" w:rsidRPr="00526801" w:rsidTr="00FF6C85">
        <w:trPr>
          <w:cantSplit/>
        </w:trPr>
        <w:tc>
          <w:tcPr>
            <w:tcW w:w="1237" w:type="dxa"/>
          </w:tcPr>
          <w:p w:rsidR="00551095" w:rsidRPr="00526801" w:rsidRDefault="00551095" w:rsidP="00551095">
            <w:pPr>
              <w:pStyle w:val="PPVTableText"/>
            </w:pPr>
            <w:r>
              <w:t>S1</w:t>
            </w:r>
          </w:p>
        </w:tc>
        <w:tc>
          <w:tcPr>
            <w:tcW w:w="1278" w:type="dxa"/>
          </w:tcPr>
          <w:p w:rsidR="00551095" w:rsidRPr="00526801" w:rsidRDefault="00551095" w:rsidP="00551095">
            <w:pPr>
              <w:pStyle w:val="PPVTableText"/>
            </w:pPr>
            <w:r>
              <w:t>19/04/18</w:t>
            </w:r>
          </w:p>
        </w:tc>
        <w:tc>
          <w:tcPr>
            <w:tcW w:w="4162" w:type="dxa"/>
          </w:tcPr>
          <w:p w:rsidR="00551095" w:rsidRPr="00526801" w:rsidRDefault="00551095" w:rsidP="00FF6C85">
            <w:pPr>
              <w:pStyle w:val="PPVTableText"/>
            </w:pPr>
            <w:r>
              <w:t>City of Port Phillip Urban Design Report for Sandridge</w:t>
            </w:r>
          </w:p>
        </w:tc>
        <w:tc>
          <w:tcPr>
            <w:tcW w:w="3070" w:type="dxa"/>
          </w:tcPr>
          <w:p w:rsidR="00551095" w:rsidRPr="00526801" w:rsidRDefault="00551095" w:rsidP="00551095">
            <w:pPr>
              <w:pStyle w:val="PPVTableText"/>
            </w:pPr>
            <w:r>
              <w:t>Ms Alvarez, Maddocks</w:t>
            </w:r>
          </w:p>
        </w:tc>
      </w:tr>
      <w:tr w:rsidR="00551095" w:rsidRPr="00526801" w:rsidTr="00FF6C85">
        <w:trPr>
          <w:cantSplit/>
        </w:trPr>
        <w:tc>
          <w:tcPr>
            <w:tcW w:w="1237" w:type="dxa"/>
          </w:tcPr>
          <w:p w:rsidR="00551095" w:rsidRPr="00526801" w:rsidRDefault="00551095" w:rsidP="00551095">
            <w:pPr>
              <w:pStyle w:val="PPVTableText"/>
            </w:pPr>
            <w:r>
              <w:t>S2</w:t>
            </w:r>
          </w:p>
        </w:tc>
        <w:tc>
          <w:tcPr>
            <w:tcW w:w="1278" w:type="dxa"/>
          </w:tcPr>
          <w:p w:rsidR="00551095" w:rsidRPr="00526801" w:rsidRDefault="00551095" w:rsidP="00551095">
            <w:pPr>
              <w:pStyle w:val="PPVTableText"/>
            </w:pPr>
            <w:r>
              <w:t>20/04/18</w:t>
            </w:r>
          </w:p>
        </w:tc>
        <w:tc>
          <w:tcPr>
            <w:tcW w:w="4162" w:type="dxa"/>
          </w:tcPr>
          <w:p w:rsidR="00551095" w:rsidRPr="00526801" w:rsidRDefault="00551095" w:rsidP="00FF6C85">
            <w:pPr>
              <w:pStyle w:val="PPVTableText"/>
            </w:pPr>
            <w:r>
              <w:t>Revised Sandridge DDO maps</w:t>
            </w:r>
          </w:p>
        </w:tc>
        <w:tc>
          <w:tcPr>
            <w:tcW w:w="3070" w:type="dxa"/>
          </w:tcPr>
          <w:p w:rsidR="00551095" w:rsidRPr="00526801" w:rsidRDefault="00551095" w:rsidP="00551095">
            <w:pPr>
              <w:pStyle w:val="PPVTableText"/>
            </w:pPr>
            <w:r>
              <w:t>Mr Watters of Counsel for the Minister for Planning</w:t>
            </w:r>
          </w:p>
        </w:tc>
      </w:tr>
      <w:tr w:rsidR="00551095" w:rsidRPr="00526801" w:rsidTr="00FF6C85">
        <w:trPr>
          <w:cantSplit/>
        </w:trPr>
        <w:tc>
          <w:tcPr>
            <w:tcW w:w="1237" w:type="dxa"/>
          </w:tcPr>
          <w:p w:rsidR="00551095" w:rsidRPr="00526801" w:rsidRDefault="00551095" w:rsidP="00551095">
            <w:pPr>
              <w:pStyle w:val="PPVTableText"/>
            </w:pPr>
            <w:r>
              <w:t>S3</w:t>
            </w:r>
          </w:p>
        </w:tc>
        <w:tc>
          <w:tcPr>
            <w:tcW w:w="1278" w:type="dxa"/>
          </w:tcPr>
          <w:p w:rsidR="00551095" w:rsidRPr="00526801" w:rsidRDefault="00551095" w:rsidP="00551095">
            <w:pPr>
              <w:pStyle w:val="PPVTableText"/>
            </w:pPr>
            <w:r>
              <w:t>“</w:t>
            </w:r>
          </w:p>
        </w:tc>
        <w:tc>
          <w:tcPr>
            <w:tcW w:w="4162" w:type="dxa"/>
          </w:tcPr>
          <w:p w:rsidR="00551095" w:rsidRPr="00526801" w:rsidRDefault="00551095" w:rsidP="00FF6C85">
            <w:pPr>
              <w:pStyle w:val="PPVTableText"/>
            </w:pPr>
            <w:r>
              <w:t>Proposed Precinct Character for Sandridge</w:t>
            </w:r>
          </w:p>
        </w:tc>
        <w:tc>
          <w:tcPr>
            <w:tcW w:w="3070" w:type="dxa"/>
          </w:tcPr>
          <w:p w:rsidR="00551095" w:rsidRPr="00526801" w:rsidRDefault="00551095" w:rsidP="00551095">
            <w:pPr>
              <w:pStyle w:val="PPVTableText"/>
            </w:pPr>
            <w:r>
              <w:t>“</w:t>
            </w:r>
          </w:p>
        </w:tc>
      </w:tr>
      <w:tr w:rsidR="00551095" w:rsidRPr="00526801" w:rsidTr="00FF6C85">
        <w:trPr>
          <w:cantSplit/>
        </w:trPr>
        <w:tc>
          <w:tcPr>
            <w:tcW w:w="1237" w:type="dxa"/>
          </w:tcPr>
          <w:p w:rsidR="00551095" w:rsidRPr="00526801" w:rsidRDefault="00551095" w:rsidP="00551095">
            <w:pPr>
              <w:pStyle w:val="PPVTableText"/>
            </w:pPr>
            <w:r>
              <w:t>S4</w:t>
            </w:r>
          </w:p>
        </w:tc>
        <w:tc>
          <w:tcPr>
            <w:tcW w:w="1278" w:type="dxa"/>
          </w:tcPr>
          <w:p w:rsidR="00551095" w:rsidRPr="00526801" w:rsidRDefault="00551095" w:rsidP="00551095">
            <w:pPr>
              <w:pStyle w:val="PPVTableText"/>
            </w:pPr>
            <w:r>
              <w:t>“</w:t>
            </w:r>
          </w:p>
        </w:tc>
        <w:tc>
          <w:tcPr>
            <w:tcW w:w="4162" w:type="dxa"/>
          </w:tcPr>
          <w:p w:rsidR="00551095" w:rsidRPr="00526801" w:rsidRDefault="00551095" w:rsidP="00FF6C85">
            <w:pPr>
              <w:pStyle w:val="PPVTableText"/>
            </w:pPr>
            <w:r>
              <w:t>Enlarged Plans (from S1)</w:t>
            </w:r>
            <w:r w:rsidR="00FF6C85" w:rsidRPr="00526801">
              <w:t xml:space="preserve"> </w:t>
            </w:r>
          </w:p>
        </w:tc>
        <w:tc>
          <w:tcPr>
            <w:tcW w:w="3070" w:type="dxa"/>
          </w:tcPr>
          <w:p w:rsidR="00551095" w:rsidRPr="00526801" w:rsidRDefault="00551095" w:rsidP="00551095">
            <w:pPr>
              <w:pStyle w:val="PPVTableText"/>
            </w:pPr>
            <w:r>
              <w:t>Mr Montebello, Maddocks Lawyers</w:t>
            </w:r>
          </w:p>
        </w:tc>
      </w:tr>
      <w:tr w:rsidR="00551095" w:rsidRPr="00526801" w:rsidTr="00FF6C85">
        <w:trPr>
          <w:cantSplit/>
        </w:trPr>
        <w:tc>
          <w:tcPr>
            <w:tcW w:w="1237" w:type="dxa"/>
          </w:tcPr>
          <w:p w:rsidR="00551095" w:rsidRPr="00526801" w:rsidRDefault="00551095" w:rsidP="00551095">
            <w:pPr>
              <w:pStyle w:val="PPVTableText"/>
            </w:pPr>
            <w:r>
              <w:t>S5</w:t>
            </w:r>
          </w:p>
        </w:tc>
        <w:tc>
          <w:tcPr>
            <w:tcW w:w="1278" w:type="dxa"/>
          </w:tcPr>
          <w:p w:rsidR="00551095" w:rsidRPr="00526801" w:rsidRDefault="00551095" w:rsidP="00551095">
            <w:pPr>
              <w:pStyle w:val="PPVTableText"/>
            </w:pPr>
            <w:r>
              <w:t>“</w:t>
            </w:r>
          </w:p>
        </w:tc>
        <w:tc>
          <w:tcPr>
            <w:tcW w:w="4162" w:type="dxa"/>
          </w:tcPr>
          <w:p w:rsidR="00551095" w:rsidRPr="00526801" w:rsidRDefault="00551095" w:rsidP="00FF6C85">
            <w:pPr>
              <w:pStyle w:val="PPVTableText"/>
            </w:pPr>
            <w:r>
              <w:t>City of Port Phillip Submission</w:t>
            </w:r>
          </w:p>
        </w:tc>
        <w:tc>
          <w:tcPr>
            <w:tcW w:w="3070" w:type="dxa"/>
          </w:tcPr>
          <w:p w:rsidR="00551095" w:rsidRPr="00526801"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S6</w:t>
            </w:r>
          </w:p>
        </w:tc>
        <w:tc>
          <w:tcPr>
            <w:tcW w:w="1278" w:type="dxa"/>
          </w:tcPr>
          <w:p w:rsidR="00551095" w:rsidRPr="0017672A" w:rsidRDefault="00551095" w:rsidP="00551095">
            <w:pPr>
              <w:pStyle w:val="PPVTableText"/>
            </w:pPr>
            <w:r>
              <w:t>27/04/18</w:t>
            </w:r>
          </w:p>
        </w:tc>
        <w:tc>
          <w:tcPr>
            <w:tcW w:w="4162" w:type="dxa"/>
          </w:tcPr>
          <w:p w:rsidR="00551095" w:rsidRPr="009D063C" w:rsidRDefault="00551095" w:rsidP="00FF6C85">
            <w:pPr>
              <w:pStyle w:val="PPVTableText"/>
            </w:pPr>
            <w:r>
              <w:t>Sandridge Opening Submission</w:t>
            </w:r>
          </w:p>
        </w:tc>
        <w:tc>
          <w:tcPr>
            <w:tcW w:w="3070" w:type="dxa"/>
          </w:tcPr>
          <w:p w:rsidR="00551095" w:rsidRPr="009D063C" w:rsidRDefault="00551095" w:rsidP="00551095">
            <w:pPr>
              <w:pStyle w:val="PPVTableText"/>
            </w:pPr>
            <w:r>
              <w:t>Mr Wren</w:t>
            </w:r>
          </w:p>
        </w:tc>
      </w:tr>
      <w:tr w:rsidR="00551095" w:rsidRPr="00526801" w:rsidTr="00FF6C85">
        <w:trPr>
          <w:cantSplit/>
        </w:trPr>
        <w:tc>
          <w:tcPr>
            <w:tcW w:w="1237" w:type="dxa"/>
          </w:tcPr>
          <w:p w:rsidR="00551095" w:rsidRDefault="00551095" w:rsidP="00551095">
            <w:pPr>
              <w:pStyle w:val="PPVTableText"/>
            </w:pPr>
            <w:r>
              <w:t>S7</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Power</w:t>
            </w:r>
            <w:r w:rsidR="004742B5">
              <w:t>P</w:t>
            </w:r>
            <w:r>
              <w:t>oint presentation on urban design evidence</w:t>
            </w:r>
          </w:p>
        </w:tc>
        <w:tc>
          <w:tcPr>
            <w:tcW w:w="3070" w:type="dxa"/>
          </w:tcPr>
          <w:p w:rsidR="00551095" w:rsidRPr="009D063C" w:rsidRDefault="00551095" w:rsidP="00551095">
            <w:pPr>
              <w:pStyle w:val="PPVTableText"/>
            </w:pPr>
            <w:r>
              <w:t>Mr Sheppard</w:t>
            </w:r>
          </w:p>
        </w:tc>
      </w:tr>
      <w:tr w:rsidR="00551095" w:rsidRPr="00526801" w:rsidTr="00FF6C85">
        <w:trPr>
          <w:cantSplit/>
        </w:trPr>
        <w:tc>
          <w:tcPr>
            <w:tcW w:w="1237" w:type="dxa"/>
          </w:tcPr>
          <w:p w:rsidR="00551095" w:rsidRDefault="00551095" w:rsidP="00551095">
            <w:pPr>
              <w:pStyle w:val="PPVTableText"/>
            </w:pPr>
            <w:r>
              <w:t>S8</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Sandridge building heights map</w:t>
            </w:r>
          </w:p>
        </w:tc>
        <w:tc>
          <w:tcPr>
            <w:tcW w:w="3070" w:type="dxa"/>
          </w:tcPr>
          <w:p w:rsidR="00551095" w:rsidRPr="009D063C" w:rsidRDefault="00551095" w:rsidP="00551095">
            <w:pPr>
              <w:pStyle w:val="PPVTableText"/>
            </w:pPr>
            <w:r>
              <w:t>Ms Brennan</w:t>
            </w:r>
          </w:p>
        </w:tc>
      </w:tr>
      <w:tr w:rsidR="00551095" w:rsidRPr="00526801" w:rsidTr="00FF6C85">
        <w:trPr>
          <w:cantSplit/>
        </w:trPr>
        <w:tc>
          <w:tcPr>
            <w:tcW w:w="1237" w:type="dxa"/>
          </w:tcPr>
          <w:p w:rsidR="00551095" w:rsidRDefault="00551095" w:rsidP="00551095">
            <w:pPr>
              <w:pStyle w:val="PPVTableText"/>
            </w:pPr>
            <w:r>
              <w:t>S9</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Extract of Heritage Overlay, Port Phillip Planning Scheme</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S10</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Images prepared by Hodyl &amp; Co along Williamstown Road and Bridge Street</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S11</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Screen shots, Hodyl 3D models</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S12</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Sandridge revised FAR Modelling 26.04.1</w:t>
            </w:r>
          </w:p>
        </w:tc>
        <w:tc>
          <w:tcPr>
            <w:tcW w:w="3070" w:type="dxa"/>
          </w:tcPr>
          <w:p w:rsidR="00551095" w:rsidRPr="009D063C" w:rsidRDefault="00551095" w:rsidP="00551095">
            <w:pPr>
              <w:pStyle w:val="PPVTableText"/>
            </w:pPr>
            <w:r>
              <w:t>Mr Sheppard</w:t>
            </w:r>
          </w:p>
        </w:tc>
      </w:tr>
      <w:tr w:rsidR="00551095" w:rsidRPr="00526801" w:rsidTr="00FF6C85">
        <w:trPr>
          <w:cantSplit/>
        </w:trPr>
        <w:tc>
          <w:tcPr>
            <w:tcW w:w="1237" w:type="dxa"/>
          </w:tcPr>
          <w:p w:rsidR="00551095" w:rsidRDefault="00551095" w:rsidP="00551095">
            <w:pPr>
              <w:pStyle w:val="PPVTableText"/>
            </w:pPr>
            <w:r>
              <w:t>S13</w:t>
            </w:r>
          </w:p>
        </w:tc>
        <w:tc>
          <w:tcPr>
            <w:tcW w:w="1278" w:type="dxa"/>
          </w:tcPr>
          <w:p w:rsidR="00551095" w:rsidRPr="0017672A" w:rsidRDefault="00551095" w:rsidP="00551095">
            <w:pPr>
              <w:pStyle w:val="PPVTableText"/>
            </w:pPr>
            <w:r>
              <w:t>30/04/18</w:t>
            </w:r>
          </w:p>
        </w:tc>
        <w:tc>
          <w:tcPr>
            <w:tcW w:w="4162" w:type="dxa"/>
          </w:tcPr>
          <w:p w:rsidR="00551095" w:rsidRPr="009D063C" w:rsidRDefault="00551095" w:rsidP="00551095">
            <w:pPr>
              <w:pStyle w:val="PPVTableText"/>
            </w:pPr>
            <w:r>
              <w:t>60-82 Johnson St, South Melbourne</w:t>
            </w:r>
            <w:r>
              <w:br/>
              <w:t>Planning permit extension of time</w:t>
            </w:r>
          </w:p>
        </w:tc>
        <w:tc>
          <w:tcPr>
            <w:tcW w:w="3070" w:type="dxa"/>
          </w:tcPr>
          <w:p w:rsidR="00551095" w:rsidRPr="009D063C" w:rsidRDefault="00551095" w:rsidP="00551095">
            <w:pPr>
              <w:pStyle w:val="PPVTableText"/>
            </w:pPr>
            <w:r>
              <w:t>Ms Brennan</w:t>
            </w:r>
          </w:p>
        </w:tc>
      </w:tr>
      <w:tr w:rsidR="00551095" w:rsidRPr="00526801" w:rsidTr="00FF6C85">
        <w:trPr>
          <w:cantSplit/>
        </w:trPr>
        <w:tc>
          <w:tcPr>
            <w:tcW w:w="1237" w:type="dxa"/>
          </w:tcPr>
          <w:p w:rsidR="00551095" w:rsidRDefault="00551095" w:rsidP="00551095">
            <w:pPr>
              <w:pStyle w:val="PPVTableText"/>
            </w:pPr>
            <w:r>
              <w:t>S14</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Submission on behalf of SPG Johnson Street Landowner Pty Ltd (Salvo Group)</w:t>
            </w:r>
          </w:p>
        </w:tc>
        <w:tc>
          <w:tcPr>
            <w:tcW w:w="3070" w:type="dxa"/>
          </w:tcPr>
          <w:p w:rsidR="00551095" w:rsidRPr="009D063C" w:rsidRDefault="00551095" w:rsidP="00551095">
            <w:pPr>
              <w:pStyle w:val="PPVTableText"/>
            </w:pPr>
            <w:r>
              <w:t>Mr Tweedie</w:t>
            </w:r>
          </w:p>
        </w:tc>
      </w:tr>
      <w:tr w:rsidR="00551095" w:rsidRPr="00526801" w:rsidTr="00FF6C85">
        <w:trPr>
          <w:cantSplit/>
        </w:trPr>
        <w:tc>
          <w:tcPr>
            <w:tcW w:w="1237" w:type="dxa"/>
          </w:tcPr>
          <w:p w:rsidR="00551095" w:rsidRDefault="00551095" w:rsidP="00551095">
            <w:pPr>
              <w:pStyle w:val="PPVTableText"/>
            </w:pPr>
            <w:r>
              <w:t>S15</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Existing permit 60-82 Johnson Street No MPA 14/003-1</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S16</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Plans for 60-82 Johnson Street</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S17</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 xml:space="preserve">DELWP letter – application for extension of time </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S18</w:t>
            </w:r>
          </w:p>
        </w:tc>
        <w:tc>
          <w:tcPr>
            <w:tcW w:w="1278" w:type="dxa"/>
          </w:tcPr>
          <w:p w:rsidR="00551095" w:rsidRPr="0017672A" w:rsidRDefault="00551095" w:rsidP="00551095">
            <w:pPr>
              <w:pStyle w:val="PPVTableText"/>
            </w:pPr>
            <w:r>
              <w:t>“</w:t>
            </w:r>
          </w:p>
        </w:tc>
        <w:tc>
          <w:tcPr>
            <w:tcW w:w="4162" w:type="dxa"/>
          </w:tcPr>
          <w:p w:rsidR="00551095" w:rsidRPr="009D063C" w:rsidRDefault="00551095" w:rsidP="00551095">
            <w:pPr>
              <w:pStyle w:val="PPVTableText"/>
            </w:pPr>
            <w:r>
              <w:t>Salvo Group’s request for EOT letter dated 8 December 2017</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S19</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Presentation of proposed revisions to Amended Planning Permit MPA14/003-1</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S20</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Amended Plans for 60-82 Johnson Street</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S21</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 xml:space="preserve">Amended Planning Permit 60-82 Johnson </w:t>
            </w:r>
            <w:r w:rsidR="00BA473B">
              <w:t>S</w:t>
            </w:r>
            <w:r>
              <w:t>treet No MPA 14/003-1</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S22</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 xml:space="preserve">Letter – Connolly Environmental summary of environmental works </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S23</w:t>
            </w:r>
          </w:p>
        </w:tc>
        <w:tc>
          <w:tcPr>
            <w:tcW w:w="1278" w:type="dxa"/>
          </w:tcPr>
          <w:p w:rsidR="00551095" w:rsidRPr="0017672A" w:rsidRDefault="00551095" w:rsidP="00551095">
            <w:pPr>
              <w:pStyle w:val="PPVTableText"/>
            </w:pPr>
          </w:p>
        </w:tc>
        <w:tc>
          <w:tcPr>
            <w:tcW w:w="4162" w:type="dxa"/>
          </w:tcPr>
          <w:p w:rsidR="00551095" w:rsidRDefault="00551095" w:rsidP="00551095">
            <w:pPr>
              <w:pStyle w:val="PPVTableText"/>
            </w:pPr>
            <w:r>
              <w:t>Salvo Professional fees to date</w:t>
            </w:r>
          </w:p>
        </w:tc>
        <w:tc>
          <w:tcPr>
            <w:tcW w:w="3070" w:type="dxa"/>
          </w:tcPr>
          <w:p w:rsidR="00551095" w:rsidRPr="009D063C"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S24</w:t>
            </w:r>
          </w:p>
        </w:tc>
        <w:tc>
          <w:tcPr>
            <w:tcW w:w="1278" w:type="dxa"/>
          </w:tcPr>
          <w:p w:rsidR="00551095" w:rsidRPr="0017672A" w:rsidRDefault="00551095" w:rsidP="00551095">
            <w:pPr>
              <w:pStyle w:val="PPVTableText"/>
            </w:pPr>
            <w:r>
              <w:t>02/05/18</w:t>
            </w:r>
          </w:p>
        </w:tc>
        <w:tc>
          <w:tcPr>
            <w:tcW w:w="4162" w:type="dxa"/>
          </w:tcPr>
          <w:p w:rsidR="00551095" w:rsidRDefault="00551095" w:rsidP="00551095">
            <w:pPr>
              <w:pStyle w:val="PPVTableText"/>
            </w:pPr>
            <w:r>
              <w:t>Submission – Teller Group</w:t>
            </w:r>
          </w:p>
        </w:tc>
        <w:tc>
          <w:tcPr>
            <w:tcW w:w="3070" w:type="dxa"/>
          </w:tcPr>
          <w:p w:rsidR="00551095" w:rsidRDefault="00551095" w:rsidP="00551095">
            <w:pPr>
              <w:pStyle w:val="PPVTableText"/>
            </w:pPr>
            <w:r>
              <w:t>Mr Govenlock, Urbis</w:t>
            </w:r>
          </w:p>
        </w:tc>
      </w:tr>
      <w:tr w:rsidR="00551095" w:rsidRPr="00526801" w:rsidTr="00FF6C85">
        <w:trPr>
          <w:cantSplit/>
        </w:trPr>
        <w:tc>
          <w:tcPr>
            <w:tcW w:w="1237" w:type="dxa"/>
          </w:tcPr>
          <w:p w:rsidR="00551095" w:rsidRDefault="00551095" w:rsidP="00551095">
            <w:pPr>
              <w:pStyle w:val="PPVTableText"/>
            </w:pPr>
            <w:r>
              <w:t>S25</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PowerPoint presentation on planning and urban design evidence for CitiPower Pty Ltd</w:t>
            </w:r>
          </w:p>
        </w:tc>
        <w:tc>
          <w:tcPr>
            <w:tcW w:w="3070" w:type="dxa"/>
          </w:tcPr>
          <w:p w:rsidR="00551095" w:rsidRDefault="00551095" w:rsidP="00551095">
            <w:pPr>
              <w:pStyle w:val="PPVTableText"/>
            </w:pPr>
            <w:r>
              <w:t>Ms Heggen</w:t>
            </w:r>
          </w:p>
        </w:tc>
      </w:tr>
      <w:tr w:rsidR="00551095" w:rsidRPr="00526801" w:rsidTr="00FF6C85">
        <w:trPr>
          <w:cantSplit/>
        </w:trPr>
        <w:tc>
          <w:tcPr>
            <w:tcW w:w="1237" w:type="dxa"/>
          </w:tcPr>
          <w:p w:rsidR="00551095" w:rsidRDefault="00551095" w:rsidP="00551095">
            <w:pPr>
              <w:pStyle w:val="PPVTableText"/>
            </w:pPr>
            <w:r>
              <w:t>S26</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Submission – CitiPower Pty Ltd</w:t>
            </w:r>
          </w:p>
        </w:tc>
        <w:tc>
          <w:tcPr>
            <w:tcW w:w="3070" w:type="dxa"/>
          </w:tcPr>
          <w:p w:rsidR="00551095" w:rsidRDefault="00551095" w:rsidP="00551095">
            <w:pPr>
              <w:pStyle w:val="PPVTableText"/>
            </w:pPr>
            <w:r>
              <w:t xml:space="preserve">Mr Canavan </w:t>
            </w:r>
          </w:p>
        </w:tc>
      </w:tr>
      <w:tr w:rsidR="00551095" w:rsidRPr="00526801" w:rsidTr="00FF6C85">
        <w:trPr>
          <w:cantSplit/>
        </w:trPr>
        <w:tc>
          <w:tcPr>
            <w:tcW w:w="1237" w:type="dxa"/>
          </w:tcPr>
          <w:p w:rsidR="00551095" w:rsidRDefault="00551095" w:rsidP="00551095">
            <w:pPr>
              <w:pStyle w:val="PPVTableText"/>
            </w:pPr>
            <w:r>
              <w:t>S27</w:t>
            </w:r>
          </w:p>
        </w:tc>
        <w:tc>
          <w:tcPr>
            <w:tcW w:w="1278" w:type="dxa"/>
          </w:tcPr>
          <w:p w:rsidR="00551095" w:rsidRPr="0017672A" w:rsidRDefault="00551095" w:rsidP="00551095">
            <w:pPr>
              <w:pStyle w:val="PPVTableText"/>
            </w:pPr>
            <w:r>
              <w:t>03/05/18</w:t>
            </w:r>
          </w:p>
        </w:tc>
        <w:tc>
          <w:tcPr>
            <w:tcW w:w="4162" w:type="dxa"/>
          </w:tcPr>
          <w:p w:rsidR="00551095" w:rsidRDefault="00551095" w:rsidP="00551095">
            <w:pPr>
              <w:pStyle w:val="PPVTableText"/>
            </w:pPr>
            <w:r>
              <w:t>Submission – Delta Group</w:t>
            </w:r>
          </w:p>
        </w:tc>
        <w:tc>
          <w:tcPr>
            <w:tcW w:w="3070" w:type="dxa"/>
          </w:tcPr>
          <w:p w:rsidR="00551095" w:rsidRDefault="00551095" w:rsidP="00551095">
            <w:pPr>
              <w:pStyle w:val="PPVTableText"/>
            </w:pPr>
            <w:r>
              <w:t>Mr Morris and Ms Collingwood</w:t>
            </w:r>
          </w:p>
        </w:tc>
      </w:tr>
      <w:tr w:rsidR="00551095" w:rsidRPr="00526801" w:rsidTr="00FF6C85">
        <w:trPr>
          <w:cantSplit/>
        </w:trPr>
        <w:tc>
          <w:tcPr>
            <w:tcW w:w="1237" w:type="dxa"/>
          </w:tcPr>
          <w:p w:rsidR="00551095" w:rsidRDefault="00551095" w:rsidP="00551095">
            <w:pPr>
              <w:pStyle w:val="PPVTableText"/>
            </w:pPr>
            <w:r>
              <w:t>S28</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Aerial photo of site</w:t>
            </w:r>
          </w:p>
        </w:tc>
        <w:tc>
          <w:tcPr>
            <w:tcW w:w="3070" w:type="dxa"/>
          </w:tcPr>
          <w:p w:rsidR="00551095"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S29</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Aerial photo of local area</w:t>
            </w:r>
          </w:p>
        </w:tc>
        <w:tc>
          <w:tcPr>
            <w:tcW w:w="3070" w:type="dxa"/>
          </w:tcPr>
          <w:p w:rsidR="00551095" w:rsidRDefault="00551095" w:rsidP="00551095">
            <w:pPr>
              <w:pStyle w:val="PPVTableText"/>
            </w:pPr>
            <w:r>
              <w:t>Mr Watters</w:t>
            </w:r>
          </w:p>
        </w:tc>
      </w:tr>
      <w:tr w:rsidR="00551095" w:rsidRPr="00526801" w:rsidTr="00FF6C85">
        <w:trPr>
          <w:cantSplit/>
        </w:trPr>
        <w:tc>
          <w:tcPr>
            <w:tcW w:w="1237" w:type="dxa"/>
          </w:tcPr>
          <w:p w:rsidR="00551095" w:rsidRDefault="00551095" w:rsidP="00551095">
            <w:pPr>
              <w:pStyle w:val="PPVTableText"/>
            </w:pPr>
            <w:r>
              <w:t>S30</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Aquanio Pty Ltd Submission, including:</w:t>
            </w:r>
          </w:p>
          <w:p w:rsidR="00551095" w:rsidRDefault="00551095" w:rsidP="00FF6C85">
            <w:pPr>
              <w:pStyle w:val="PPVTableTextBullet"/>
            </w:pPr>
            <w:r>
              <w:t>appendix A (timelines)</w:t>
            </w:r>
          </w:p>
          <w:p w:rsidR="00551095" w:rsidRDefault="00551095" w:rsidP="00FF6C85">
            <w:pPr>
              <w:pStyle w:val="PPVTableTextBullet"/>
            </w:pPr>
            <w:r>
              <w:t>appendix B (costs)</w:t>
            </w:r>
          </w:p>
        </w:tc>
        <w:tc>
          <w:tcPr>
            <w:tcW w:w="3070" w:type="dxa"/>
          </w:tcPr>
          <w:p w:rsidR="00551095" w:rsidRDefault="00551095" w:rsidP="00551095">
            <w:pPr>
              <w:pStyle w:val="PPVTableText"/>
            </w:pPr>
            <w:r>
              <w:t>Mr Canavan</w:t>
            </w:r>
          </w:p>
        </w:tc>
      </w:tr>
      <w:tr w:rsidR="00551095" w:rsidRPr="00526801" w:rsidTr="00FF6C85">
        <w:trPr>
          <w:cantSplit/>
        </w:trPr>
        <w:tc>
          <w:tcPr>
            <w:tcW w:w="1237" w:type="dxa"/>
          </w:tcPr>
          <w:p w:rsidR="00551095" w:rsidRDefault="00551095" w:rsidP="00551095">
            <w:pPr>
              <w:pStyle w:val="PPVTableText"/>
            </w:pPr>
            <w:r>
              <w:t>S31</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 xml:space="preserve">Geotech investigation </w:t>
            </w:r>
          </w:p>
        </w:tc>
        <w:tc>
          <w:tcPr>
            <w:tcW w:w="3070" w:type="dxa"/>
          </w:tcPr>
          <w:p w:rsidR="00551095"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S32</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Addendum 1 to evidence of Toyota Motor Corporation</w:t>
            </w:r>
          </w:p>
        </w:tc>
        <w:tc>
          <w:tcPr>
            <w:tcW w:w="3070" w:type="dxa"/>
          </w:tcPr>
          <w:p w:rsidR="00551095" w:rsidRDefault="00551095" w:rsidP="00551095">
            <w:pPr>
              <w:pStyle w:val="PPVTableText"/>
            </w:pPr>
            <w:r>
              <w:t>Mr Wiseman</w:t>
            </w:r>
          </w:p>
        </w:tc>
      </w:tr>
      <w:tr w:rsidR="00551095" w:rsidRPr="00526801" w:rsidTr="00FF6C85">
        <w:trPr>
          <w:cantSplit/>
        </w:trPr>
        <w:tc>
          <w:tcPr>
            <w:tcW w:w="1237" w:type="dxa"/>
          </w:tcPr>
          <w:p w:rsidR="00551095" w:rsidRDefault="00551095" w:rsidP="00551095">
            <w:pPr>
              <w:pStyle w:val="PPVTableText"/>
            </w:pPr>
            <w:r>
              <w:t>S33</w:t>
            </w:r>
          </w:p>
        </w:tc>
        <w:tc>
          <w:tcPr>
            <w:tcW w:w="1278" w:type="dxa"/>
          </w:tcPr>
          <w:p w:rsidR="00551095" w:rsidRPr="0017672A" w:rsidRDefault="00551095" w:rsidP="00551095">
            <w:pPr>
              <w:pStyle w:val="PPVTableText"/>
            </w:pPr>
            <w:r>
              <w:t>04/05/18</w:t>
            </w:r>
          </w:p>
        </w:tc>
        <w:tc>
          <w:tcPr>
            <w:tcW w:w="4162" w:type="dxa"/>
          </w:tcPr>
          <w:p w:rsidR="00551095" w:rsidRDefault="00551095" w:rsidP="00551095">
            <w:pPr>
              <w:pStyle w:val="PPVTableText"/>
            </w:pPr>
            <w:r>
              <w:t>Submission – Toyota Motor Corporation</w:t>
            </w:r>
          </w:p>
        </w:tc>
        <w:tc>
          <w:tcPr>
            <w:tcW w:w="3070" w:type="dxa"/>
          </w:tcPr>
          <w:p w:rsidR="00551095" w:rsidRDefault="00551095" w:rsidP="00551095">
            <w:pPr>
              <w:pStyle w:val="PPVTableText"/>
            </w:pPr>
            <w:r>
              <w:t>Mr Chiappi</w:t>
            </w:r>
          </w:p>
        </w:tc>
      </w:tr>
      <w:tr w:rsidR="00551095" w:rsidRPr="00526801" w:rsidTr="00FF6C85">
        <w:trPr>
          <w:cantSplit/>
        </w:trPr>
        <w:tc>
          <w:tcPr>
            <w:tcW w:w="1237" w:type="dxa"/>
          </w:tcPr>
          <w:p w:rsidR="00551095" w:rsidRDefault="00551095" w:rsidP="00551095">
            <w:pPr>
              <w:pStyle w:val="PPVTableText"/>
            </w:pPr>
            <w:r>
              <w:t>S34</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Power</w:t>
            </w:r>
            <w:r w:rsidR="004742B5">
              <w:t>P</w:t>
            </w:r>
            <w:r>
              <w:t>oint presentation on planning evidence for Toyota Motor Corporation</w:t>
            </w:r>
          </w:p>
        </w:tc>
        <w:tc>
          <w:tcPr>
            <w:tcW w:w="3070" w:type="dxa"/>
          </w:tcPr>
          <w:p w:rsidR="00551095" w:rsidRDefault="00551095" w:rsidP="00551095">
            <w:pPr>
              <w:pStyle w:val="PPVTableText"/>
            </w:pPr>
            <w:r>
              <w:t>Mr Rogers</w:t>
            </w:r>
          </w:p>
        </w:tc>
      </w:tr>
      <w:tr w:rsidR="00551095" w:rsidRPr="00526801" w:rsidTr="00FF6C85">
        <w:trPr>
          <w:cantSplit/>
        </w:trPr>
        <w:tc>
          <w:tcPr>
            <w:tcW w:w="1237" w:type="dxa"/>
          </w:tcPr>
          <w:p w:rsidR="00551095" w:rsidRDefault="00551095" w:rsidP="00551095">
            <w:pPr>
              <w:pStyle w:val="PPVTableText"/>
            </w:pPr>
            <w:r>
              <w:t>S35</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Power</w:t>
            </w:r>
            <w:r w:rsidR="004742B5">
              <w:t>P</w:t>
            </w:r>
            <w:r>
              <w:t>oint presentation on traffic evidence for Toyota Motor Corporation</w:t>
            </w:r>
          </w:p>
        </w:tc>
        <w:tc>
          <w:tcPr>
            <w:tcW w:w="3070" w:type="dxa"/>
          </w:tcPr>
          <w:p w:rsidR="00551095" w:rsidRDefault="00551095" w:rsidP="00551095">
            <w:pPr>
              <w:pStyle w:val="PPVTableText"/>
            </w:pPr>
            <w:r>
              <w:t>Ms Dunstan</w:t>
            </w:r>
          </w:p>
        </w:tc>
      </w:tr>
      <w:tr w:rsidR="00551095" w:rsidRPr="00526801" w:rsidTr="00FF6C85">
        <w:trPr>
          <w:cantSplit/>
        </w:trPr>
        <w:tc>
          <w:tcPr>
            <w:tcW w:w="1237" w:type="dxa"/>
          </w:tcPr>
          <w:p w:rsidR="00551095" w:rsidRDefault="00551095" w:rsidP="00551095">
            <w:pPr>
              <w:pStyle w:val="PPVTableText"/>
            </w:pPr>
            <w:r>
              <w:t>S36</w:t>
            </w:r>
          </w:p>
        </w:tc>
        <w:tc>
          <w:tcPr>
            <w:tcW w:w="1278" w:type="dxa"/>
          </w:tcPr>
          <w:p w:rsidR="00551095" w:rsidRPr="0017672A" w:rsidRDefault="00551095" w:rsidP="00551095">
            <w:pPr>
              <w:pStyle w:val="PPVTableText"/>
            </w:pPr>
            <w:r>
              <w:t>“</w:t>
            </w:r>
          </w:p>
        </w:tc>
        <w:tc>
          <w:tcPr>
            <w:tcW w:w="4162" w:type="dxa"/>
          </w:tcPr>
          <w:p w:rsidR="00551095" w:rsidRDefault="003B5FA1" w:rsidP="00551095">
            <w:pPr>
              <w:pStyle w:val="PPVTableText"/>
            </w:pPr>
            <w:r>
              <w:t>Sandridge Precinct</w:t>
            </w:r>
            <w:r w:rsidR="00551095">
              <w:t xml:space="preserve"> approved permits/applications spreadsheet</w:t>
            </w:r>
          </w:p>
        </w:tc>
        <w:tc>
          <w:tcPr>
            <w:tcW w:w="3070" w:type="dxa"/>
          </w:tcPr>
          <w:p w:rsidR="00551095" w:rsidRDefault="00551095" w:rsidP="00551095">
            <w:pPr>
              <w:pStyle w:val="PPVTableText"/>
            </w:pPr>
            <w:r>
              <w:t>Mr Watters</w:t>
            </w:r>
          </w:p>
        </w:tc>
      </w:tr>
      <w:tr w:rsidR="00551095" w:rsidRPr="00526801" w:rsidTr="00FF6C85">
        <w:trPr>
          <w:cantSplit/>
        </w:trPr>
        <w:tc>
          <w:tcPr>
            <w:tcW w:w="1237" w:type="dxa"/>
          </w:tcPr>
          <w:p w:rsidR="00551095" w:rsidRDefault="00551095" w:rsidP="00551095">
            <w:pPr>
              <w:pStyle w:val="PPVTableText"/>
            </w:pPr>
            <w:r>
              <w:t>S37</w:t>
            </w:r>
          </w:p>
        </w:tc>
        <w:tc>
          <w:tcPr>
            <w:tcW w:w="1278" w:type="dxa"/>
          </w:tcPr>
          <w:p w:rsidR="00551095" w:rsidRPr="0017672A" w:rsidRDefault="00551095" w:rsidP="00551095">
            <w:pPr>
              <w:pStyle w:val="PPVTableText"/>
            </w:pPr>
            <w:r>
              <w:t>07/05/18</w:t>
            </w:r>
          </w:p>
        </w:tc>
        <w:tc>
          <w:tcPr>
            <w:tcW w:w="4162" w:type="dxa"/>
          </w:tcPr>
          <w:p w:rsidR="00551095" w:rsidRDefault="004742B5" w:rsidP="00551095">
            <w:pPr>
              <w:pStyle w:val="PPVTableText"/>
            </w:pPr>
            <w:r>
              <w:t>Closing s</w:t>
            </w:r>
            <w:r w:rsidR="00551095">
              <w:t>ubmission – Minister for Planning</w:t>
            </w:r>
          </w:p>
        </w:tc>
        <w:tc>
          <w:tcPr>
            <w:tcW w:w="3070" w:type="dxa"/>
          </w:tcPr>
          <w:p w:rsidR="00551095"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S38</w:t>
            </w:r>
          </w:p>
        </w:tc>
        <w:tc>
          <w:tcPr>
            <w:tcW w:w="1278" w:type="dxa"/>
          </w:tcPr>
          <w:p w:rsidR="00551095" w:rsidRPr="0017672A" w:rsidRDefault="00551095" w:rsidP="00551095">
            <w:pPr>
              <w:pStyle w:val="PPVTableText"/>
            </w:pPr>
            <w:r>
              <w:t>“</w:t>
            </w:r>
          </w:p>
        </w:tc>
        <w:tc>
          <w:tcPr>
            <w:tcW w:w="4162" w:type="dxa"/>
          </w:tcPr>
          <w:p w:rsidR="00551095" w:rsidRDefault="00551095" w:rsidP="00551095">
            <w:pPr>
              <w:pStyle w:val="PPVTableText"/>
            </w:pPr>
            <w:r>
              <w:t>Parking Overlay 45.09</w:t>
            </w:r>
          </w:p>
        </w:tc>
        <w:tc>
          <w:tcPr>
            <w:tcW w:w="3070" w:type="dxa"/>
          </w:tcPr>
          <w:p w:rsidR="00551095" w:rsidRDefault="00551095" w:rsidP="00551095">
            <w:pPr>
              <w:pStyle w:val="PPVTableText"/>
            </w:pPr>
            <w:r>
              <w:t>“</w:t>
            </w:r>
          </w:p>
        </w:tc>
      </w:tr>
      <w:tr w:rsidR="00551095" w:rsidRPr="00526801" w:rsidTr="00FF6C85">
        <w:trPr>
          <w:cantSplit/>
        </w:trPr>
        <w:tc>
          <w:tcPr>
            <w:tcW w:w="1237" w:type="dxa"/>
          </w:tcPr>
          <w:p w:rsidR="00551095" w:rsidRDefault="00551095" w:rsidP="00551095">
            <w:pPr>
              <w:pStyle w:val="PPVTableText"/>
            </w:pPr>
            <w:r>
              <w:t>S39</w:t>
            </w:r>
          </w:p>
        </w:tc>
        <w:tc>
          <w:tcPr>
            <w:tcW w:w="1278" w:type="dxa"/>
          </w:tcPr>
          <w:p w:rsidR="00551095" w:rsidRPr="0017672A" w:rsidRDefault="00551095" w:rsidP="00551095">
            <w:pPr>
              <w:pStyle w:val="PPVTableText"/>
            </w:pPr>
            <w:r>
              <w:t>“</w:t>
            </w:r>
          </w:p>
        </w:tc>
        <w:tc>
          <w:tcPr>
            <w:tcW w:w="4162" w:type="dxa"/>
          </w:tcPr>
          <w:p w:rsidR="00551095" w:rsidRDefault="004742B5" w:rsidP="00551095">
            <w:pPr>
              <w:pStyle w:val="PPVTableText"/>
            </w:pPr>
            <w:r>
              <w:t>Closing s</w:t>
            </w:r>
            <w:r w:rsidR="00551095">
              <w:t>ubmission – City of Port Phillip</w:t>
            </w:r>
          </w:p>
        </w:tc>
        <w:tc>
          <w:tcPr>
            <w:tcW w:w="3070" w:type="dxa"/>
          </w:tcPr>
          <w:p w:rsidR="00551095" w:rsidRDefault="00551095" w:rsidP="00551095">
            <w:pPr>
              <w:pStyle w:val="PPVTableText"/>
            </w:pPr>
            <w:r>
              <w:t>Mr Montebello, Maddocks Lawyers</w:t>
            </w:r>
          </w:p>
        </w:tc>
      </w:tr>
      <w:tr w:rsidR="00551095" w:rsidRPr="00526801" w:rsidTr="00FF6C85">
        <w:trPr>
          <w:cantSplit/>
        </w:trPr>
        <w:tc>
          <w:tcPr>
            <w:tcW w:w="1237" w:type="dxa"/>
          </w:tcPr>
          <w:p w:rsidR="00551095" w:rsidRDefault="00551095" w:rsidP="00551095">
            <w:pPr>
              <w:pStyle w:val="PPVTableText"/>
            </w:pPr>
            <w:r>
              <w:t>S40</w:t>
            </w:r>
          </w:p>
        </w:tc>
        <w:tc>
          <w:tcPr>
            <w:tcW w:w="1278" w:type="dxa"/>
          </w:tcPr>
          <w:p w:rsidR="00551095" w:rsidRDefault="00551095" w:rsidP="00551095">
            <w:pPr>
              <w:pStyle w:val="PPVTableText"/>
            </w:pPr>
            <w:r>
              <w:t>09/05/18</w:t>
            </w:r>
          </w:p>
        </w:tc>
        <w:tc>
          <w:tcPr>
            <w:tcW w:w="4162" w:type="dxa"/>
          </w:tcPr>
          <w:p w:rsidR="00551095" w:rsidRDefault="00551095" w:rsidP="00551095">
            <w:pPr>
              <w:pStyle w:val="PPVTableText"/>
            </w:pPr>
            <w:r>
              <w:t xml:space="preserve">Revised FAR modelling for 1 Fennel St Port Melbourne </w:t>
            </w:r>
          </w:p>
        </w:tc>
        <w:tc>
          <w:tcPr>
            <w:tcW w:w="3070" w:type="dxa"/>
          </w:tcPr>
          <w:p w:rsidR="00551095" w:rsidRDefault="00551095" w:rsidP="00551095">
            <w:pPr>
              <w:pStyle w:val="PPVTableText"/>
            </w:pPr>
          </w:p>
        </w:tc>
      </w:tr>
      <w:tr w:rsidR="00551095" w:rsidRPr="00526801" w:rsidTr="00FF6C85">
        <w:trPr>
          <w:cantSplit/>
        </w:trPr>
        <w:tc>
          <w:tcPr>
            <w:tcW w:w="1237" w:type="dxa"/>
          </w:tcPr>
          <w:p w:rsidR="00551095" w:rsidRDefault="00551095" w:rsidP="00551095">
            <w:pPr>
              <w:pStyle w:val="PPVTableText"/>
            </w:pPr>
            <w:r>
              <w:t>S41</w:t>
            </w:r>
          </w:p>
        </w:tc>
        <w:tc>
          <w:tcPr>
            <w:tcW w:w="1278" w:type="dxa"/>
          </w:tcPr>
          <w:p w:rsidR="00551095" w:rsidRDefault="00551095" w:rsidP="00551095">
            <w:pPr>
              <w:pStyle w:val="PPVTableText"/>
            </w:pPr>
            <w:r>
              <w:t>16/05/18</w:t>
            </w:r>
          </w:p>
        </w:tc>
        <w:tc>
          <w:tcPr>
            <w:tcW w:w="4162" w:type="dxa"/>
          </w:tcPr>
          <w:p w:rsidR="00551095" w:rsidRDefault="00551095" w:rsidP="00551095">
            <w:pPr>
              <w:pStyle w:val="PPVTableText"/>
            </w:pPr>
            <w:r>
              <w:t>Submission from Kador Pty Ltd</w:t>
            </w:r>
          </w:p>
        </w:tc>
        <w:tc>
          <w:tcPr>
            <w:tcW w:w="3070" w:type="dxa"/>
          </w:tcPr>
          <w:p w:rsidR="00551095" w:rsidRDefault="00551095" w:rsidP="00551095">
            <w:pPr>
              <w:pStyle w:val="PPVTableText"/>
            </w:pPr>
            <w:r>
              <w:t>Ms Collingwood</w:t>
            </w:r>
          </w:p>
        </w:tc>
      </w:tr>
      <w:tr w:rsidR="00551095" w:rsidRPr="00526801" w:rsidTr="00FF6C85">
        <w:trPr>
          <w:cantSplit/>
        </w:trPr>
        <w:tc>
          <w:tcPr>
            <w:tcW w:w="1237" w:type="dxa"/>
          </w:tcPr>
          <w:p w:rsidR="00551095" w:rsidRDefault="00551095" w:rsidP="00551095">
            <w:pPr>
              <w:pStyle w:val="PPVTableText"/>
            </w:pPr>
            <w:r>
              <w:t>S42</w:t>
            </w:r>
          </w:p>
        </w:tc>
        <w:tc>
          <w:tcPr>
            <w:tcW w:w="1278" w:type="dxa"/>
          </w:tcPr>
          <w:p w:rsidR="00551095" w:rsidRDefault="00551095" w:rsidP="00551095">
            <w:pPr>
              <w:pStyle w:val="PPVTableText"/>
            </w:pPr>
            <w:r>
              <w:t>“</w:t>
            </w:r>
          </w:p>
        </w:tc>
        <w:tc>
          <w:tcPr>
            <w:tcW w:w="4162" w:type="dxa"/>
          </w:tcPr>
          <w:p w:rsidR="00551095" w:rsidRDefault="00551095" w:rsidP="00551095">
            <w:pPr>
              <w:pStyle w:val="PPVTableText"/>
            </w:pPr>
            <w:r>
              <w:t>Extract from Mr Walsh’s evidence</w:t>
            </w:r>
          </w:p>
        </w:tc>
        <w:tc>
          <w:tcPr>
            <w:tcW w:w="3070" w:type="dxa"/>
          </w:tcPr>
          <w:p w:rsidR="00551095" w:rsidRDefault="00551095" w:rsidP="00551095">
            <w:pPr>
              <w:pStyle w:val="PPVTableText"/>
            </w:pPr>
            <w:r>
              <w:t>“</w:t>
            </w:r>
          </w:p>
        </w:tc>
      </w:tr>
      <w:bookmarkEnd w:id="142"/>
      <w:tr w:rsidR="009154CF" w:rsidTr="00FF6C85">
        <w:trPr>
          <w:cantSplit/>
        </w:trPr>
        <w:tc>
          <w:tcPr>
            <w:tcW w:w="1237" w:type="dxa"/>
          </w:tcPr>
          <w:p w:rsidR="009154CF" w:rsidRDefault="009154CF" w:rsidP="00C10AEA">
            <w:pPr>
              <w:pStyle w:val="PPVTableText"/>
            </w:pPr>
            <w:r>
              <w:t>S43</w:t>
            </w:r>
          </w:p>
        </w:tc>
        <w:tc>
          <w:tcPr>
            <w:tcW w:w="1278" w:type="dxa"/>
          </w:tcPr>
          <w:p w:rsidR="009154CF" w:rsidRDefault="009154CF" w:rsidP="00C10AEA">
            <w:pPr>
              <w:pStyle w:val="PPVTableText"/>
            </w:pPr>
            <w:r>
              <w:t>“</w:t>
            </w:r>
          </w:p>
        </w:tc>
        <w:tc>
          <w:tcPr>
            <w:tcW w:w="4162" w:type="dxa"/>
          </w:tcPr>
          <w:p w:rsidR="009154CF" w:rsidRDefault="009154CF" w:rsidP="00C10AEA">
            <w:pPr>
              <w:pStyle w:val="PPVTableText"/>
            </w:pPr>
            <w:r>
              <w:t>Shadow impacts of alternative building forms</w:t>
            </w:r>
          </w:p>
        </w:tc>
        <w:tc>
          <w:tcPr>
            <w:tcW w:w="3070" w:type="dxa"/>
          </w:tcPr>
          <w:p w:rsidR="009154CF" w:rsidRDefault="009154CF" w:rsidP="00C10AEA">
            <w:pPr>
              <w:pStyle w:val="PPVTableText"/>
            </w:pPr>
            <w:r>
              <w:t>“</w:t>
            </w:r>
          </w:p>
        </w:tc>
      </w:tr>
      <w:tr w:rsidR="009154CF" w:rsidTr="00FF6C85">
        <w:trPr>
          <w:cantSplit/>
        </w:trPr>
        <w:tc>
          <w:tcPr>
            <w:tcW w:w="1237" w:type="dxa"/>
          </w:tcPr>
          <w:p w:rsidR="009154CF" w:rsidRDefault="009154CF" w:rsidP="00C10AEA">
            <w:pPr>
              <w:pStyle w:val="PPVTableText"/>
            </w:pPr>
            <w:r>
              <w:t>S44</w:t>
            </w:r>
          </w:p>
        </w:tc>
        <w:tc>
          <w:tcPr>
            <w:tcW w:w="1278" w:type="dxa"/>
          </w:tcPr>
          <w:p w:rsidR="009154CF" w:rsidRDefault="009154CF" w:rsidP="00C10AEA">
            <w:pPr>
              <w:pStyle w:val="PPVTableText"/>
            </w:pPr>
            <w:r>
              <w:t>“</w:t>
            </w:r>
          </w:p>
        </w:tc>
        <w:tc>
          <w:tcPr>
            <w:tcW w:w="4162" w:type="dxa"/>
          </w:tcPr>
          <w:p w:rsidR="009154CF" w:rsidRDefault="009154CF" w:rsidP="00C10AEA">
            <w:pPr>
              <w:pStyle w:val="PPVTableText"/>
            </w:pPr>
            <w:r>
              <w:t>Submission from Nias Nominees Pty Ltd &amp; Roger Savage</w:t>
            </w:r>
          </w:p>
        </w:tc>
        <w:tc>
          <w:tcPr>
            <w:tcW w:w="3070" w:type="dxa"/>
          </w:tcPr>
          <w:p w:rsidR="009154CF" w:rsidRDefault="009154CF" w:rsidP="00C10AEA">
            <w:pPr>
              <w:pStyle w:val="PPVTableText"/>
            </w:pPr>
            <w:r>
              <w:t>Ms Robertson</w:t>
            </w:r>
          </w:p>
        </w:tc>
      </w:tr>
      <w:tr w:rsidR="009154CF" w:rsidTr="00FF6C85">
        <w:trPr>
          <w:cantSplit/>
        </w:trPr>
        <w:tc>
          <w:tcPr>
            <w:tcW w:w="1237" w:type="dxa"/>
          </w:tcPr>
          <w:p w:rsidR="009154CF" w:rsidRDefault="009154CF" w:rsidP="00C10AEA">
            <w:pPr>
              <w:pStyle w:val="PPVTableText"/>
            </w:pPr>
            <w:r>
              <w:t>S45</w:t>
            </w:r>
          </w:p>
        </w:tc>
        <w:tc>
          <w:tcPr>
            <w:tcW w:w="1278" w:type="dxa"/>
          </w:tcPr>
          <w:p w:rsidR="009154CF" w:rsidRDefault="009154CF" w:rsidP="00C10AEA">
            <w:pPr>
              <w:pStyle w:val="PPVTableText"/>
            </w:pPr>
            <w:r>
              <w:t>“</w:t>
            </w:r>
          </w:p>
        </w:tc>
        <w:tc>
          <w:tcPr>
            <w:tcW w:w="4162" w:type="dxa"/>
          </w:tcPr>
          <w:p w:rsidR="009154CF" w:rsidRDefault="009154CF" w:rsidP="00C10AEA">
            <w:pPr>
              <w:pStyle w:val="PPVTableText"/>
            </w:pPr>
            <w:r>
              <w:t>Addendum to evidence</w:t>
            </w:r>
          </w:p>
        </w:tc>
        <w:tc>
          <w:tcPr>
            <w:tcW w:w="3070" w:type="dxa"/>
          </w:tcPr>
          <w:p w:rsidR="009154CF" w:rsidRDefault="009154CF" w:rsidP="00C10AEA">
            <w:pPr>
              <w:pStyle w:val="PPVTableText"/>
            </w:pPr>
            <w:r>
              <w:t>Ms Collingwood</w:t>
            </w:r>
          </w:p>
        </w:tc>
      </w:tr>
      <w:tr w:rsidR="009154CF" w:rsidTr="00FF6C85">
        <w:trPr>
          <w:cantSplit/>
        </w:trPr>
        <w:tc>
          <w:tcPr>
            <w:tcW w:w="1237" w:type="dxa"/>
          </w:tcPr>
          <w:p w:rsidR="009154CF" w:rsidRDefault="009154CF" w:rsidP="00C10AEA">
            <w:pPr>
              <w:pStyle w:val="PPVTableText"/>
            </w:pPr>
            <w:r>
              <w:t>S46</w:t>
            </w:r>
          </w:p>
        </w:tc>
        <w:tc>
          <w:tcPr>
            <w:tcW w:w="1278" w:type="dxa"/>
          </w:tcPr>
          <w:p w:rsidR="009154CF" w:rsidRDefault="009154CF" w:rsidP="00C10AEA">
            <w:pPr>
              <w:pStyle w:val="PPVTableText"/>
            </w:pPr>
            <w:r>
              <w:t>22/05/18</w:t>
            </w:r>
          </w:p>
        </w:tc>
        <w:tc>
          <w:tcPr>
            <w:tcW w:w="4162" w:type="dxa"/>
          </w:tcPr>
          <w:p w:rsidR="009154CF" w:rsidRDefault="009154CF" w:rsidP="00C10AEA">
            <w:pPr>
              <w:pStyle w:val="PPVTableText"/>
            </w:pPr>
            <w:r>
              <w:t>Correspondence from Citi</w:t>
            </w:r>
            <w:r w:rsidR="00BA473B">
              <w:t>P</w:t>
            </w:r>
            <w:r>
              <w:t>ower</w:t>
            </w:r>
          </w:p>
        </w:tc>
        <w:tc>
          <w:tcPr>
            <w:tcW w:w="3070" w:type="dxa"/>
          </w:tcPr>
          <w:p w:rsidR="009154CF" w:rsidRDefault="009154CF" w:rsidP="00C10AEA">
            <w:pPr>
              <w:pStyle w:val="PPVTableText"/>
            </w:pPr>
            <w:r>
              <w:t>Ms Choi</w:t>
            </w:r>
          </w:p>
        </w:tc>
      </w:tr>
    </w:tbl>
    <w:p w:rsidR="00EB6581" w:rsidRPr="004742B5" w:rsidRDefault="00EB6581" w:rsidP="004742B5">
      <w:pPr>
        <w:widowControl w:val="0"/>
        <w:spacing w:before="0"/>
        <w:rPr>
          <w:sz w:val="16"/>
          <w:szCs w:val="16"/>
        </w:rPr>
      </w:pPr>
    </w:p>
    <w:sectPr w:rsidR="00EB6581" w:rsidRPr="004742B5" w:rsidSect="004742B5">
      <w:footerReference w:type="default" r:id="rId40"/>
      <w:pgSz w:w="11906" w:h="16838" w:code="9"/>
      <w:pgMar w:top="1701" w:right="1418" w:bottom="1560"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70E" w:rsidRDefault="00CD370E" w:rsidP="00F236E4">
      <w:r>
        <w:separator/>
      </w:r>
    </w:p>
    <w:p w:rsidR="00CD370E" w:rsidRDefault="00CD370E" w:rsidP="00F236E4"/>
  </w:endnote>
  <w:endnote w:type="continuationSeparator" w:id="0">
    <w:p w:rsidR="00CD370E" w:rsidRDefault="00CD370E" w:rsidP="00F236E4">
      <w:r>
        <w:continuationSeparator/>
      </w:r>
    </w:p>
    <w:p w:rsidR="00CD370E" w:rsidRDefault="00CD370E"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700" w:rsidRDefault="004B5700">
    <w:pPr>
      <w:pStyle w:val="Footer"/>
    </w:pPr>
    <w:r>
      <w:rPr>
        <w:noProof/>
      </w:rPr>
      <w:drawing>
        <wp:anchor distT="0" distB="0" distL="114300" distR="114300" simplePos="0" relativeHeight="251659776" behindDoc="1" locked="0" layoutInCell="1" allowOverlap="1" wp14:anchorId="7279708D" wp14:editId="6CD8231B">
          <wp:simplePos x="0" y="0"/>
          <wp:positionH relativeFrom="column">
            <wp:posOffset>4471035</wp:posOffset>
          </wp:positionH>
          <wp:positionV relativeFrom="paragraph">
            <wp:posOffset>-244302</wp:posOffset>
          </wp:positionV>
          <wp:extent cx="1670541" cy="571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700" w:rsidRDefault="004B5700" w:rsidP="000C5DD2">
    <w:pPr>
      <w:pStyle w:val="PPVBody"/>
    </w:pPr>
  </w:p>
  <w:p w:rsidR="004B5700" w:rsidRDefault="004B5700" w:rsidP="000C5DD2">
    <w:pPr>
      <w:pStyle w:val="PPVBody"/>
    </w:pPr>
  </w:p>
  <w:p w:rsidR="004B5700" w:rsidRDefault="004B5700" w:rsidP="000C5DD2">
    <w:pPr>
      <w:pStyle w:val="PPVBody"/>
    </w:pPr>
    <w:r>
      <w:rPr>
        <w:noProof/>
      </w:rPr>
      <w:drawing>
        <wp:anchor distT="0" distB="0" distL="114300" distR="114300" simplePos="0" relativeHeight="251658752" behindDoc="1" locked="0" layoutInCell="1" allowOverlap="1" wp14:anchorId="7279708F" wp14:editId="72797090">
          <wp:simplePos x="0" y="0"/>
          <wp:positionH relativeFrom="column">
            <wp:posOffset>4138295</wp:posOffset>
          </wp:positionH>
          <wp:positionV relativeFrom="paragraph">
            <wp:posOffset>-372745</wp:posOffset>
          </wp:positionV>
          <wp:extent cx="1670541" cy="571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700" w:rsidRPr="00A1097B" w:rsidRDefault="004B5700" w:rsidP="00A109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700" w:rsidRPr="00D775D4" w:rsidRDefault="004B5700"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6D2E8A">
      <w:rPr>
        <w:noProof/>
        <w:color w:val="595959"/>
        <w:sz w:val="18"/>
        <w:szCs w:val="18"/>
      </w:rPr>
      <w:t>39</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6D2E8A">
      <w:rPr>
        <w:noProof/>
        <w:color w:val="595959"/>
        <w:sz w:val="18"/>
        <w:szCs w:val="18"/>
      </w:rPr>
      <w:t>41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70E" w:rsidRDefault="00CD370E" w:rsidP="00F236E4">
      <w:r>
        <w:separator/>
      </w:r>
    </w:p>
  </w:footnote>
  <w:footnote w:type="continuationSeparator" w:id="0">
    <w:p w:rsidR="00CD370E" w:rsidRDefault="00CD370E" w:rsidP="00F236E4">
      <w:r>
        <w:continuationSeparator/>
      </w:r>
    </w:p>
    <w:p w:rsidR="00CD370E" w:rsidRDefault="00CD370E" w:rsidP="00F236E4"/>
  </w:footnote>
  <w:footnote w:id="1">
    <w:p w:rsidR="004B5700" w:rsidRDefault="004B5700" w:rsidP="0065432F">
      <w:pPr>
        <w:pStyle w:val="FootnoteText"/>
      </w:pPr>
      <w:r>
        <w:rPr>
          <w:rStyle w:val="FootnoteReference"/>
        </w:rPr>
        <w:footnoteRef/>
      </w:r>
      <w:r>
        <w:tab/>
        <w:t>Fishermans Bend Vision 2016, page 24.</w:t>
      </w:r>
    </w:p>
  </w:footnote>
  <w:footnote w:id="2">
    <w:p w:rsidR="004B5700" w:rsidRDefault="004B5700" w:rsidP="00BD66D0">
      <w:pPr>
        <w:pStyle w:val="FootnoteText"/>
      </w:pPr>
      <w:r>
        <w:rPr>
          <w:rStyle w:val="FootnoteReference"/>
        </w:rPr>
        <w:footnoteRef/>
      </w:r>
      <w:r>
        <w:t xml:space="preserve"> </w:t>
      </w:r>
      <w:r>
        <w:tab/>
        <w:t>Ibid, page 24.</w:t>
      </w:r>
    </w:p>
  </w:footnote>
  <w:footnote w:id="3">
    <w:p w:rsidR="004B5700" w:rsidRDefault="004B5700">
      <w:pPr>
        <w:pStyle w:val="FootnoteText"/>
      </w:pPr>
      <w:r>
        <w:rPr>
          <w:rStyle w:val="FootnoteReference"/>
        </w:rPr>
        <w:footnoteRef/>
      </w:r>
      <w:r>
        <w:t xml:space="preserve"> </w:t>
      </w:r>
      <w:r>
        <w:tab/>
        <w:t>Ibid, page 24.</w:t>
      </w:r>
    </w:p>
  </w:footnote>
  <w:footnote w:id="4">
    <w:p w:rsidR="004B5700" w:rsidRDefault="004B5700">
      <w:pPr>
        <w:pStyle w:val="FootnoteText"/>
      </w:pPr>
      <w:r>
        <w:rPr>
          <w:rStyle w:val="FootnoteReference"/>
        </w:rPr>
        <w:footnoteRef/>
      </w:r>
      <w:r>
        <w:tab/>
        <w:t>Fishermans Bend Framework 2017, p 74.</w:t>
      </w:r>
    </w:p>
  </w:footnote>
  <w:footnote w:id="5">
    <w:p w:rsidR="004B5700" w:rsidRDefault="004B5700">
      <w:pPr>
        <w:pStyle w:val="FootnoteText"/>
      </w:pPr>
      <w:r>
        <w:rPr>
          <w:rStyle w:val="FootnoteReference"/>
        </w:rPr>
        <w:footnoteRef/>
      </w:r>
      <w:r>
        <w:tab/>
      </w:r>
      <w:r w:rsidRPr="005B36E5">
        <w:rPr>
          <w:i/>
        </w:rPr>
        <w:t>Urban Design Strategy</w:t>
      </w:r>
      <w:r>
        <w:rPr>
          <w:i/>
        </w:rPr>
        <w:t xml:space="preserve"> </w:t>
      </w:r>
      <w:r w:rsidRPr="005B36E5">
        <w:t>(</w:t>
      </w:r>
      <w:r>
        <w:t>D53), page 88.</w:t>
      </w:r>
    </w:p>
  </w:footnote>
  <w:footnote w:id="6">
    <w:p w:rsidR="004B5700" w:rsidRDefault="004B5700">
      <w:pPr>
        <w:pStyle w:val="FootnoteText"/>
      </w:pPr>
      <w:r>
        <w:rPr>
          <w:rStyle w:val="FootnoteReference"/>
        </w:rPr>
        <w:footnoteRef/>
      </w:r>
      <w:r>
        <w:t xml:space="preserve"> </w:t>
      </w:r>
      <w:r>
        <w:tab/>
      </w:r>
      <w:r>
        <w:rPr>
          <w:rFonts w:asciiTheme="minorHAnsi" w:hAnsiTheme="minorHAnsi"/>
        </w:rPr>
        <w:t>Who appeared on behalf of the Minister and not Council.</w:t>
      </w:r>
    </w:p>
  </w:footnote>
  <w:footnote w:id="7">
    <w:p w:rsidR="004B5700" w:rsidRDefault="004B5700">
      <w:pPr>
        <w:pStyle w:val="FootnoteText"/>
      </w:pPr>
      <w:r>
        <w:rPr>
          <w:rStyle w:val="FootnoteReference"/>
        </w:rPr>
        <w:footnoteRef/>
      </w:r>
      <w:r>
        <w:t xml:space="preserve"> </w:t>
      </w:r>
      <w:r>
        <w:tab/>
        <w:t>Document (W1).</w:t>
      </w:r>
    </w:p>
  </w:footnote>
  <w:footnote w:id="8">
    <w:p w:rsidR="004B5700" w:rsidRDefault="004B5700">
      <w:pPr>
        <w:pStyle w:val="FootnoteText"/>
      </w:pPr>
      <w:r>
        <w:rPr>
          <w:rStyle w:val="FootnoteReference"/>
        </w:rPr>
        <w:footnoteRef/>
      </w:r>
      <w:r>
        <w:t xml:space="preserve"> </w:t>
      </w:r>
      <w:r>
        <w:tab/>
        <w:t>Closing Submission Minister for Planning (DS37), [36.1].</w:t>
      </w:r>
    </w:p>
  </w:footnote>
  <w:footnote w:id="9">
    <w:p w:rsidR="004B5700" w:rsidRDefault="004B5700">
      <w:pPr>
        <w:pStyle w:val="FootnoteText"/>
      </w:pPr>
      <w:r>
        <w:rPr>
          <w:rStyle w:val="FootnoteReference"/>
        </w:rPr>
        <w:footnoteRef/>
      </w:r>
      <w:r>
        <w:t xml:space="preserve"> Closing submission City of Port Phillip (DS39), [16].</w:t>
      </w:r>
    </w:p>
  </w:footnote>
  <w:footnote w:id="10">
    <w:p w:rsidR="004B5700" w:rsidRDefault="004B5700">
      <w:pPr>
        <w:pStyle w:val="FootnoteText"/>
      </w:pPr>
      <w:r>
        <w:rPr>
          <w:rStyle w:val="FootnoteReference"/>
        </w:rPr>
        <w:footnoteRef/>
      </w:r>
      <w:r>
        <w:t xml:space="preserve"> Evidence of Joanna Thompson (D75), page 34.</w:t>
      </w:r>
    </w:p>
  </w:footnote>
  <w:footnote w:id="11">
    <w:p w:rsidR="004B5700" w:rsidRDefault="004B5700" w:rsidP="00CA660F">
      <w:pPr>
        <w:pStyle w:val="FootnoteText"/>
      </w:pPr>
      <w:r>
        <w:rPr>
          <w:rStyle w:val="FootnoteReference"/>
        </w:rPr>
        <w:footnoteRef/>
      </w:r>
      <w:r>
        <w:rPr>
          <w:rFonts w:asciiTheme="minorHAnsi" w:hAnsiTheme="minorHAnsi"/>
        </w:rPr>
        <w:t>Who appeared on behalf of many developers but not Council.</w:t>
      </w:r>
    </w:p>
  </w:footnote>
  <w:footnote w:id="12">
    <w:p w:rsidR="004B5700" w:rsidRDefault="004B5700" w:rsidP="004742B5">
      <w:pPr>
        <w:pStyle w:val="FootnoteText"/>
        <w:ind w:left="0" w:firstLine="0"/>
      </w:pPr>
      <w:r>
        <w:rPr>
          <w:rStyle w:val="FootnoteReference"/>
        </w:rPr>
        <w:footnoteRef/>
      </w:r>
      <w:r>
        <w:t xml:space="preserve"> Mr Walsh evidence (D194), [32] – Mr Walsh wrote Fennell Street in his evidence, but the Review Panel has read his intention of this paragraph to be Ingles Street.</w:t>
      </w:r>
    </w:p>
  </w:footnote>
  <w:footnote w:id="13">
    <w:p w:rsidR="004B5700" w:rsidRDefault="004B5700">
      <w:pPr>
        <w:pStyle w:val="FootnoteText"/>
      </w:pPr>
      <w:r>
        <w:rPr>
          <w:rStyle w:val="FootnoteReference"/>
        </w:rPr>
        <w:footnoteRef/>
      </w:r>
      <w:r>
        <w:t>Closing submission City of Port Phillip (DS39), [49].</w:t>
      </w:r>
    </w:p>
  </w:footnote>
  <w:footnote w:id="14">
    <w:p w:rsidR="004B5700" w:rsidRDefault="004B5700">
      <w:pPr>
        <w:pStyle w:val="FootnoteText"/>
      </w:pPr>
      <w:r>
        <w:rPr>
          <w:rStyle w:val="FootnoteReference"/>
        </w:rPr>
        <w:footnoteRef/>
      </w:r>
      <w:r>
        <w:t>Submission on behalf of Salvo Group (DS14), [5].</w:t>
      </w:r>
    </w:p>
  </w:footnote>
  <w:footnote w:id="15">
    <w:p w:rsidR="004B5700" w:rsidRDefault="004B5700">
      <w:pPr>
        <w:pStyle w:val="FootnoteText"/>
      </w:pPr>
      <w:r>
        <w:rPr>
          <w:rStyle w:val="FootnoteReference"/>
        </w:rPr>
        <w:footnoteRef/>
      </w:r>
      <w:r>
        <w:t xml:space="preserve"> Submission on behalf of Salvo Group (DS14), [30].</w:t>
      </w:r>
    </w:p>
  </w:footnote>
  <w:footnote w:id="16">
    <w:p w:rsidR="004B5700" w:rsidRPr="00B0216B" w:rsidRDefault="004B5700">
      <w:pPr>
        <w:pStyle w:val="FootnoteText"/>
      </w:pPr>
      <w:r>
        <w:rPr>
          <w:rStyle w:val="FootnoteReference"/>
        </w:rPr>
        <w:footnoteRef/>
      </w:r>
      <w:r>
        <w:t xml:space="preserve"> </w:t>
      </w:r>
      <w:r w:rsidRPr="00B0216B">
        <w:t>Ms Hodyl's Addenda 4 (D92), pages 4-5</w:t>
      </w:r>
      <w:r>
        <w:t>.</w:t>
      </w:r>
    </w:p>
  </w:footnote>
  <w:footnote w:id="17">
    <w:p w:rsidR="004B5700" w:rsidRDefault="004B5700">
      <w:pPr>
        <w:pStyle w:val="FootnoteText"/>
      </w:pPr>
      <w:r w:rsidRPr="00B0216B">
        <w:rPr>
          <w:rStyle w:val="FootnoteReference"/>
        </w:rPr>
        <w:footnoteRef/>
      </w:r>
      <w:r w:rsidRPr="00B0216B">
        <w:t>Mr Sheppard Sandridge evidence (D177d), pages 38-41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700" w:rsidRPr="00195496" w:rsidRDefault="004B5700" w:rsidP="00C70AC5">
    <w:pPr>
      <w:pBdr>
        <w:bottom w:val="single" w:sz="8" w:space="1" w:color="auto"/>
      </w:pBdr>
      <w:jc w:val="right"/>
      <w:rPr>
        <w:sz w:val="18"/>
        <w:szCs w:val="18"/>
      </w:rPr>
    </w:pPr>
    <w:r w:rsidRPr="004B5700">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Sandridge Precinct </w:t>
    </w:r>
    <w:r w:rsidRPr="00195496">
      <w:rPr>
        <w:sz w:val="18"/>
        <w:szCs w:val="18"/>
      </w:rPr>
      <w:sym w:font="Symbol" w:char="007C"/>
    </w:r>
    <w:r w:rsidRPr="00195496">
      <w:rPr>
        <w:sz w:val="18"/>
        <w:szCs w:val="18"/>
      </w:rPr>
      <w:t xml:space="preserve"> </w:t>
    </w:r>
    <w:r w:rsidRPr="004B5700">
      <w:rPr>
        <w:bCs/>
        <w:noProof/>
        <w:sz w:val="18"/>
        <w:szCs w:val="18"/>
        <w:lang w:val="en-US"/>
      </w:rPr>
      <w:t>19</w:t>
    </w:r>
    <w:r>
      <w:rPr>
        <w:noProof/>
        <w:sz w:val="18"/>
        <w:szCs w:val="18"/>
      </w:rPr>
      <w:t xml:space="preserve"> July 2018</w:t>
    </w:r>
  </w:p>
  <w:p w:rsidR="004B5700" w:rsidRPr="00681DCE" w:rsidRDefault="004B5700" w:rsidP="00681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700" w:rsidRPr="00195496" w:rsidRDefault="004B5700" w:rsidP="00C70AC5">
    <w:pPr>
      <w:pBdr>
        <w:bottom w:val="single" w:sz="8" w:space="1" w:color="auto"/>
      </w:pBdr>
      <w:jc w:val="right"/>
      <w:rPr>
        <w:sz w:val="18"/>
        <w:szCs w:val="18"/>
      </w:rPr>
    </w:pPr>
    <w:r w:rsidRPr="00195496">
      <w:rPr>
        <w:sz w:val="18"/>
        <w:szCs w:val="18"/>
      </w:rPr>
      <w:fldChar w:fldCharType="begin"/>
    </w:r>
    <w:r w:rsidRPr="00195496">
      <w:rPr>
        <w:sz w:val="18"/>
        <w:szCs w:val="18"/>
      </w:rPr>
      <w:instrText xml:space="preserve"> STYLEREF  "AAA Panel Name"  \* MERGEFORMAT </w:instrText>
    </w:r>
    <w:r w:rsidRPr="00195496">
      <w:rPr>
        <w:sz w:val="18"/>
        <w:szCs w:val="18"/>
      </w:rPr>
      <w:fldChar w:fldCharType="separate"/>
    </w:r>
    <w:r w:rsidR="006D2E8A" w:rsidRPr="006D2E8A">
      <w:rPr>
        <w:bCs/>
        <w:noProof/>
        <w:sz w:val="18"/>
        <w:szCs w:val="18"/>
        <w:lang w:val="en-US"/>
      </w:rPr>
      <w:t>Fishermans Bend Planning</w:t>
    </w:r>
    <w:r w:rsidR="006D2E8A">
      <w:rPr>
        <w:noProof/>
        <w:sz w:val="18"/>
        <w:szCs w:val="18"/>
      </w:rPr>
      <w:t xml:space="preserve"> Review Panel</w:t>
    </w:r>
    <w:r w:rsidRPr="00195496">
      <w:rPr>
        <w:noProof/>
        <w:sz w:val="18"/>
        <w:szCs w:val="18"/>
      </w:rPr>
      <w:fldChar w:fldCharType="end"/>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Sandridge Precinct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Date"  \* MERGEFORMAT </w:instrText>
    </w:r>
    <w:r w:rsidRPr="00195496">
      <w:rPr>
        <w:sz w:val="18"/>
        <w:szCs w:val="18"/>
      </w:rPr>
      <w:fldChar w:fldCharType="separate"/>
    </w:r>
    <w:r w:rsidR="006D2E8A" w:rsidRPr="006D2E8A">
      <w:rPr>
        <w:bCs/>
        <w:noProof/>
        <w:sz w:val="18"/>
        <w:szCs w:val="18"/>
        <w:lang w:val="en-US"/>
      </w:rPr>
      <w:t>19</w:t>
    </w:r>
    <w:r w:rsidR="006D2E8A">
      <w:rPr>
        <w:noProof/>
        <w:sz w:val="18"/>
        <w:szCs w:val="18"/>
      </w:rPr>
      <w:t xml:space="preserve"> July 2018</w:t>
    </w:r>
    <w:r w:rsidRPr="00195496">
      <w:rPr>
        <w:sz w:val="18"/>
        <w:szCs w:val="18"/>
      </w:rPr>
      <w:fldChar w:fldCharType="end"/>
    </w:r>
  </w:p>
  <w:p w:rsidR="004B5700" w:rsidRPr="00070412" w:rsidRDefault="004B5700" w:rsidP="0007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BD9F74"/>
    <w:multiLevelType w:val="hybridMultilevel"/>
    <w:tmpl w:val="43D5C066"/>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452C8D"/>
    <w:multiLevelType w:val="hybridMultilevel"/>
    <w:tmpl w:val="E6B613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96F279"/>
    <w:multiLevelType w:val="hybridMultilevel"/>
    <w:tmpl w:val="F818F8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5D547D"/>
    <w:multiLevelType w:val="hybridMultilevel"/>
    <w:tmpl w:val="087BF3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B4D69E1"/>
    <w:multiLevelType w:val="hybridMultilevel"/>
    <w:tmpl w:val="C1DDF4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2245648"/>
    <w:multiLevelType w:val="multilevel"/>
    <w:tmpl w:val="CB1CACD4"/>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4"/>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6" w15:restartNumberingAfterBreak="0">
    <w:nsid w:val="05F45892"/>
    <w:multiLevelType w:val="hybridMultilevel"/>
    <w:tmpl w:val="BF5AE4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3B0BE8"/>
    <w:multiLevelType w:val="multilevel"/>
    <w:tmpl w:val="81F86754"/>
    <w:lvl w:ilvl="0">
      <w:start w:val="1"/>
      <w:numFmt w:val="decimal"/>
      <w:pStyle w:val="PPVRecommendation"/>
      <w:lvlText w:val="%1."/>
      <w:lvlJc w:val="left"/>
      <w:pPr>
        <w:ind w:left="644"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364" w:hanging="360"/>
      </w:pPr>
      <w:rPr>
        <w:rFonts w:hint="default"/>
      </w:rPr>
    </w:lvl>
    <w:lvl w:ilvl="2">
      <w:start w:val="1"/>
      <w:numFmt w:val="bullet"/>
      <w:pStyle w:val="PPVRecommendationBullet"/>
      <w:lvlText w:val=""/>
      <w:lvlJc w:val="left"/>
      <w:pPr>
        <w:ind w:left="2084" w:hanging="180"/>
      </w:pPr>
      <w:rPr>
        <w:rFonts w:ascii="Symbol" w:hAnsi="Symbol"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 w15:restartNumberingAfterBreak="0">
    <w:nsid w:val="1824ABB9"/>
    <w:multiLevelType w:val="hybridMultilevel"/>
    <w:tmpl w:val="F5DCD2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6F6996"/>
    <w:multiLevelType w:val="multilevel"/>
    <w:tmpl w:val="7BCCC9CE"/>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6503F93"/>
    <w:multiLevelType w:val="hybridMultilevel"/>
    <w:tmpl w:val="B42CB2CC"/>
    <w:lvl w:ilvl="0" w:tplc="D8780CA2">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1" w15:restartNumberingAfterBreak="0">
    <w:nsid w:val="4A5CED22"/>
    <w:multiLevelType w:val="hybridMultilevel"/>
    <w:tmpl w:val="21D439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4" w15:restartNumberingAfterBreak="0">
    <w:nsid w:val="571731ED"/>
    <w:multiLevelType w:val="hybridMultilevel"/>
    <w:tmpl w:val="93E6F3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72E027E"/>
    <w:multiLevelType w:val="hybridMultilevel"/>
    <w:tmpl w:val="C537D5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17" w15:restartNumberingAfterBreak="0">
    <w:nsid w:val="6613CF52"/>
    <w:multiLevelType w:val="hybridMultilevel"/>
    <w:tmpl w:val="24B5B4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9" w15:restartNumberingAfterBreak="0">
    <w:nsid w:val="7AB12E2D"/>
    <w:multiLevelType w:val="hybridMultilevel"/>
    <w:tmpl w:val="76341F86"/>
    <w:lvl w:ilvl="0" w:tplc="CDE8BC2E">
      <w:start w:val="1"/>
      <w:numFmt w:val="bullet"/>
      <w:pStyle w:val="VPPBodyBullet1"/>
      <w:lvlText w:val=""/>
      <w:lvlJc w:val="left"/>
      <w:pPr>
        <w:ind w:left="1908" w:hanging="360"/>
      </w:pPr>
      <w:rPr>
        <w:rFonts w:ascii="Wingdings" w:hAnsi="Wingdings" w:hint="default"/>
      </w:rPr>
    </w:lvl>
    <w:lvl w:ilvl="1" w:tplc="0C090003" w:tentative="1">
      <w:start w:val="1"/>
      <w:numFmt w:val="bullet"/>
      <w:lvlText w:val="o"/>
      <w:lvlJc w:val="left"/>
      <w:pPr>
        <w:ind w:left="2628" w:hanging="360"/>
      </w:pPr>
      <w:rPr>
        <w:rFonts w:ascii="Courier New" w:hAnsi="Courier New" w:cs="Courier New" w:hint="default"/>
      </w:rPr>
    </w:lvl>
    <w:lvl w:ilvl="2" w:tplc="0C090005" w:tentative="1">
      <w:start w:val="1"/>
      <w:numFmt w:val="bullet"/>
      <w:lvlText w:val=""/>
      <w:lvlJc w:val="left"/>
      <w:pPr>
        <w:ind w:left="3348" w:hanging="360"/>
      </w:pPr>
      <w:rPr>
        <w:rFonts w:ascii="Wingdings" w:hAnsi="Wingdings" w:hint="default"/>
      </w:rPr>
    </w:lvl>
    <w:lvl w:ilvl="3" w:tplc="0C090001" w:tentative="1">
      <w:start w:val="1"/>
      <w:numFmt w:val="bullet"/>
      <w:lvlText w:val=""/>
      <w:lvlJc w:val="left"/>
      <w:pPr>
        <w:ind w:left="4068" w:hanging="360"/>
      </w:pPr>
      <w:rPr>
        <w:rFonts w:ascii="Symbol" w:hAnsi="Symbol" w:hint="default"/>
      </w:rPr>
    </w:lvl>
    <w:lvl w:ilvl="4" w:tplc="0C090003" w:tentative="1">
      <w:start w:val="1"/>
      <w:numFmt w:val="bullet"/>
      <w:lvlText w:val="o"/>
      <w:lvlJc w:val="left"/>
      <w:pPr>
        <w:ind w:left="4788" w:hanging="360"/>
      </w:pPr>
      <w:rPr>
        <w:rFonts w:ascii="Courier New" w:hAnsi="Courier New" w:cs="Courier New" w:hint="default"/>
      </w:rPr>
    </w:lvl>
    <w:lvl w:ilvl="5" w:tplc="0C090005" w:tentative="1">
      <w:start w:val="1"/>
      <w:numFmt w:val="bullet"/>
      <w:lvlText w:val=""/>
      <w:lvlJc w:val="left"/>
      <w:pPr>
        <w:ind w:left="5508" w:hanging="360"/>
      </w:pPr>
      <w:rPr>
        <w:rFonts w:ascii="Wingdings" w:hAnsi="Wingdings" w:hint="default"/>
      </w:rPr>
    </w:lvl>
    <w:lvl w:ilvl="6" w:tplc="0C090001" w:tentative="1">
      <w:start w:val="1"/>
      <w:numFmt w:val="bullet"/>
      <w:lvlText w:val=""/>
      <w:lvlJc w:val="left"/>
      <w:pPr>
        <w:ind w:left="6228" w:hanging="360"/>
      </w:pPr>
      <w:rPr>
        <w:rFonts w:ascii="Symbol" w:hAnsi="Symbol" w:hint="default"/>
      </w:rPr>
    </w:lvl>
    <w:lvl w:ilvl="7" w:tplc="0C090003" w:tentative="1">
      <w:start w:val="1"/>
      <w:numFmt w:val="bullet"/>
      <w:lvlText w:val="o"/>
      <w:lvlJc w:val="left"/>
      <w:pPr>
        <w:ind w:left="6948" w:hanging="360"/>
      </w:pPr>
      <w:rPr>
        <w:rFonts w:ascii="Courier New" w:hAnsi="Courier New" w:cs="Courier New" w:hint="default"/>
      </w:rPr>
    </w:lvl>
    <w:lvl w:ilvl="8" w:tplc="0C090005" w:tentative="1">
      <w:start w:val="1"/>
      <w:numFmt w:val="bullet"/>
      <w:lvlText w:val=""/>
      <w:lvlJc w:val="left"/>
      <w:pPr>
        <w:ind w:left="7668" w:hanging="360"/>
      </w:pPr>
      <w:rPr>
        <w:rFonts w:ascii="Wingdings" w:hAnsi="Wingdings" w:hint="default"/>
      </w:rPr>
    </w:lvl>
  </w:abstractNum>
  <w:abstractNum w:abstractNumId="20" w15:restartNumberingAfterBreak="0">
    <w:nsid w:val="7DFD19B6"/>
    <w:multiLevelType w:val="multilevel"/>
    <w:tmpl w:val="0E506F6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6"/>
  </w:num>
  <w:num w:numId="2">
    <w:abstractNumId w:val="9"/>
  </w:num>
  <w:num w:numId="3">
    <w:abstractNumId w:val="12"/>
  </w:num>
  <w:num w:numId="4">
    <w:abstractNumId w:val="7"/>
  </w:num>
  <w:num w:numId="5">
    <w:abstractNumId w:val="13"/>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5"/>
  </w:num>
  <w:num w:numId="10">
    <w:abstractNumId w:val="4"/>
  </w:num>
  <w:num w:numId="11">
    <w:abstractNumId w:val="11"/>
  </w:num>
  <w:num w:numId="12">
    <w:abstractNumId w:val="1"/>
  </w:num>
  <w:num w:numId="13">
    <w:abstractNumId w:val="15"/>
  </w:num>
  <w:num w:numId="14">
    <w:abstractNumId w:val="6"/>
  </w:num>
  <w:num w:numId="15">
    <w:abstractNumId w:val="0"/>
  </w:num>
  <w:num w:numId="16">
    <w:abstractNumId w:val="2"/>
  </w:num>
  <w:num w:numId="17">
    <w:abstractNumId w:val="14"/>
  </w:num>
  <w:num w:numId="18">
    <w:abstractNumId w:val="8"/>
  </w:num>
  <w:num w:numId="19">
    <w:abstractNumId w:val="3"/>
  </w:num>
  <w:num w:numId="20">
    <w:abstractNumId w:val="1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GrammaticalError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1617"/>
    <w:rsid w:val="00004430"/>
    <w:rsid w:val="00005B9B"/>
    <w:rsid w:val="00005BAE"/>
    <w:rsid w:val="000063DE"/>
    <w:rsid w:val="00006D3B"/>
    <w:rsid w:val="00007C0E"/>
    <w:rsid w:val="00012059"/>
    <w:rsid w:val="00014116"/>
    <w:rsid w:val="00015EB2"/>
    <w:rsid w:val="00025926"/>
    <w:rsid w:val="0003091F"/>
    <w:rsid w:val="000333F8"/>
    <w:rsid w:val="00041877"/>
    <w:rsid w:val="00042B0B"/>
    <w:rsid w:val="000455FF"/>
    <w:rsid w:val="0004597D"/>
    <w:rsid w:val="000460B8"/>
    <w:rsid w:val="000472D4"/>
    <w:rsid w:val="00047E6A"/>
    <w:rsid w:val="000559BA"/>
    <w:rsid w:val="00056FBA"/>
    <w:rsid w:val="00062FFD"/>
    <w:rsid w:val="000654A5"/>
    <w:rsid w:val="00067A1E"/>
    <w:rsid w:val="00070412"/>
    <w:rsid w:val="00072BE2"/>
    <w:rsid w:val="0007485C"/>
    <w:rsid w:val="00076FA6"/>
    <w:rsid w:val="000810A2"/>
    <w:rsid w:val="0008561C"/>
    <w:rsid w:val="00085B1F"/>
    <w:rsid w:val="00092ADF"/>
    <w:rsid w:val="00095D03"/>
    <w:rsid w:val="0009769F"/>
    <w:rsid w:val="000A2667"/>
    <w:rsid w:val="000A379A"/>
    <w:rsid w:val="000A4033"/>
    <w:rsid w:val="000A4519"/>
    <w:rsid w:val="000A6F58"/>
    <w:rsid w:val="000A7A6D"/>
    <w:rsid w:val="000B0B45"/>
    <w:rsid w:val="000B2F54"/>
    <w:rsid w:val="000B3900"/>
    <w:rsid w:val="000B40EE"/>
    <w:rsid w:val="000C06D6"/>
    <w:rsid w:val="000C5782"/>
    <w:rsid w:val="000C5DD2"/>
    <w:rsid w:val="000D0C1A"/>
    <w:rsid w:val="000D119D"/>
    <w:rsid w:val="000D7853"/>
    <w:rsid w:val="000E0AC8"/>
    <w:rsid w:val="000E0D78"/>
    <w:rsid w:val="000E1A26"/>
    <w:rsid w:val="000E2353"/>
    <w:rsid w:val="000E378B"/>
    <w:rsid w:val="000E4530"/>
    <w:rsid w:val="000E6D34"/>
    <w:rsid w:val="000E7757"/>
    <w:rsid w:val="000F1092"/>
    <w:rsid w:val="000F1CFC"/>
    <w:rsid w:val="000F2F46"/>
    <w:rsid w:val="000F3A79"/>
    <w:rsid w:val="000F4511"/>
    <w:rsid w:val="000F4ED9"/>
    <w:rsid w:val="000F5B97"/>
    <w:rsid w:val="000F6CEE"/>
    <w:rsid w:val="000F78DD"/>
    <w:rsid w:val="001042A1"/>
    <w:rsid w:val="0010689D"/>
    <w:rsid w:val="00110EA0"/>
    <w:rsid w:val="0011148F"/>
    <w:rsid w:val="001128FF"/>
    <w:rsid w:val="0011294F"/>
    <w:rsid w:val="00113C38"/>
    <w:rsid w:val="001149B4"/>
    <w:rsid w:val="001226E6"/>
    <w:rsid w:val="00125E7B"/>
    <w:rsid w:val="001263A8"/>
    <w:rsid w:val="00132131"/>
    <w:rsid w:val="00132ACA"/>
    <w:rsid w:val="00132E85"/>
    <w:rsid w:val="00133363"/>
    <w:rsid w:val="00133EBE"/>
    <w:rsid w:val="00137A7C"/>
    <w:rsid w:val="00140D84"/>
    <w:rsid w:val="001427A8"/>
    <w:rsid w:val="001428B0"/>
    <w:rsid w:val="0014301B"/>
    <w:rsid w:val="00143CBD"/>
    <w:rsid w:val="00152971"/>
    <w:rsid w:val="001531DE"/>
    <w:rsid w:val="00154B75"/>
    <w:rsid w:val="00155355"/>
    <w:rsid w:val="00155CE3"/>
    <w:rsid w:val="00160125"/>
    <w:rsid w:val="00160515"/>
    <w:rsid w:val="00160551"/>
    <w:rsid w:val="00160C51"/>
    <w:rsid w:val="00160D05"/>
    <w:rsid w:val="00160DB6"/>
    <w:rsid w:val="00161D6D"/>
    <w:rsid w:val="00162AB3"/>
    <w:rsid w:val="00162C28"/>
    <w:rsid w:val="00166017"/>
    <w:rsid w:val="00166E4E"/>
    <w:rsid w:val="00170646"/>
    <w:rsid w:val="0017131F"/>
    <w:rsid w:val="001721D4"/>
    <w:rsid w:val="00172576"/>
    <w:rsid w:val="00175493"/>
    <w:rsid w:val="001806EB"/>
    <w:rsid w:val="001808CD"/>
    <w:rsid w:val="00182C45"/>
    <w:rsid w:val="00184143"/>
    <w:rsid w:val="00186075"/>
    <w:rsid w:val="00193CCD"/>
    <w:rsid w:val="00193E0E"/>
    <w:rsid w:val="00193F12"/>
    <w:rsid w:val="00194749"/>
    <w:rsid w:val="001948CD"/>
    <w:rsid w:val="00195496"/>
    <w:rsid w:val="0019600C"/>
    <w:rsid w:val="001969B0"/>
    <w:rsid w:val="0019708D"/>
    <w:rsid w:val="001A1F8C"/>
    <w:rsid w:val="001A255F"/>
    <w:rsid w:val="001A320A"/>
    <w:rsid w:val="001A3452"/>
    <w:rsid w:val="001A53DF"/>
    <w:rsid w:val="001A639E"/>
    <w:rsid w:val="001B2787"/>
    <w:rsid w:val="001B3375"/>
    <w:rsid w:val="001B340C"/>
    <w:rsid w:val="001B43D3"/>
    <w:rsid w:val="001B5C9E"/>
    <w:rsid w:val="001B5CF3"/>
    <w:rsid w:val="001C075A"/>
    <w:rsid w:val="001C449D"/>
    <w:rsid w:val="001C59F2"/>
    <w:rsid w:val="001C59F5"/>
    <w:rsid w:val="001D202A"/>
    <w:rsid w:val="001D253C"/>
    <w:rsid w:val="001D4740"/>
    <w:rsid w:val="001D4F05"/>
    <w:rsid w:val="001E1814"/>
    <w:rsid w:val="001E18FE"/>
    <w:rsid w:val="001E1DAE"/>
    <w:rsid w:val="001E468D"/>
    <w:rsid w:val="001E6080"/>
    <w:rsid w:val="001E73BE"/>
    <w:rsid w:val="001E76A0"/>
    <w:rsid w:val="001F042A"/>
    <w:rsid w:val="001F102A"/>
    <w:rsid w:val="001F233D"/>
    <w:rsid w:val="001F4FB4"/>
    <w:rsid w:val="001F568F"/>
    <w:rsid w:val="001F5F20"/>
    <w:rsid w:val="0020081F"/>
    <w:rsid w:val="002016D7"/>
    <w:rsid w:val="002026A8"/>
    <w:rsid w:val="00203E65"/>
    <w:rsid w:val="002050F3"/>
    <w:rsid w:val="00207FD2"/>
    <w:rsid w:val="002136AD"/>
    <w:rsid w:val="0021418A"/>
    <w:rsid w:val="00217AEF"/>
    <w:rsid w:val="00217FC5"/>
    <w:rsid w:val="002223C6"/>
    <w:rsid w:val="00222A51"/>
    <w:rsid w:val="00223FC9"/>
    <w:rsid w:val="00225353"/>
    <w:rsid w:val="00227AF9"/>
    <w:rsid w:val="00230208"/>
    <w:rsid w:val="00230525"/>
    <w:rsid w:val="00231F6F"/>
    <w:rsid w:val="002328D6"/>
    <w:rsid w:val="00233351"/>
    <w:rsid w:val="00234A34"/>
    <w:rsid w:val="00237965"/>
    <w:rsid w:val="002402D5"/>
    <w:rsid w:val="00242996"/>
    <w:rsid w:val="00245302"/>
    <w:rsid w:val="0024587A"/>
    <w:rsid w:val="00245F42"/>
    <w:rsid w:val="002542C9"/>
    <w:rsid w:val="0026212C"/>
    <w:rsid w:val="00263B06"/>
    <w:rsid w:val="002659AA"/>
    <w:rsid w:val="00272FD2"/>
    <w:rsid w:val="002822BF"/>
    <w:rsid w:val="00282BA0"/>
    <w:rsid w:val="002868E4"/>
    <w:rsid w:val="0028748F"/>
    <w:rsid w:val="00295C79"/>
    <w:rsid w:val="002966BA"/>
    <w:rsid w:val="002A27E4"/>
    <w:rsid w:val="002A2FE9"/>
    <w:rsid w:val="002A3D3B"/>
    <w:rsid w:val="002A3F9E"/>
    <w:rsid w:val="002A4918"/>
    <w:rsid w:val="002A4BE1"/>
    <w:rsid w:val="002A4DBB"/>
    <w:rsid w:val="002A587F"/>
    <w:rsid w:val="002A6A07"/>
    <w:rsid w:val="002B2752"/>
    <w:rsid w:val="002B315A"/>
    <w:rsid w:val="002B3D61"/>
    <w:rsid w:val="002B6623"/>
    <w:rsid w:val="002C37D1"/>
    <w:rsid w:val="002C49BF"/>
    <w:rsid w:val="002C4BDD"/>
    <w:rsid w:val="002C5E1B"/>
    <w:rsid w:val="002D6804"/>
    <w:rsid w:val="002D7109"/>
    <w:rsid w:val="002D74A7"/>
    <w:rsid w:val="002E1CEE"/>
    <w:rsid w:val="002E2E10"/>
    <w:rsid w:val="002E66B6"/>
    <w:rsid w:val="002F0ACC"/>
    <w:rsid w:val="002F0B81"/>
    <w:rsid w:val="002F0E53"/>
    <w:rsid w:val="002F3EE3"/>
    <w:rsid w:val="002F58B0"/>
    <w:rsid w:val="002F62D7"/>
    <w:rsid w:val="002F65A0"/>
    <w:rsid w:val="002F73DE"/>
    <w:rsid w:val="00300F85"/>
    <w:rsid w:val="00301F86"/>
    <w:rsid w:val="00302D22"/>
    <w:rsid w:val="003030DE"/>
    <w:rsid w:val="00304469"/>
    <w:rsid w:val="00304A6A"/>
    <w:rsid w:val="00306260"/>
    <w:rsid w:val="00306773"/>
    <w:rsid w:val="00310408"/>
    <w:rsid w:val="003123C3"/>
    <w:rsid w:val="00313ED2"/>
    <w:rsid w:val="00314E42"/>
    <w:rsid w:val="00315A64"/>
    <w:rsid w:val="0031609C"/>
    <w:rsid w:val="003174D7"/>
    <w:rsid w:val="003213E4"/>
    <w:rsid w:val="00321D97"/>
    <w:rsid w:val="00324B22"/>
    <w:rsid w:val="00326F6F"/>
    <w:rsid w:val="00333553"/>
    <w:rsid w:val="00333796"/>
    <w:rsid w:val="00337EA2"/>
    <w:rsid w:val="00337FB3"/>
    <w:rsid w:val="0034056E"/>
    <w:rsid w:val="00341B5B"/>
    <w:rsid w:val="0035209E"/>
    <w:rsid w:val="0035340E"/>
    <w:rsid w:val="00356CFF"/>
    <w:rsid w:val="00360538"/>
    <w:rsid w:val="00362B92"/>
    <w:rsid w:val="00363CC3"/>
    <w:rsid w:val="00364C79"/>
    <w:rsid w:val="00365F99"/>
    <w:rsid w:val="00366278"/>
    <w:rsid w:val="003667E2"/>
    <w:rsid w:val="003670C1"/>
    <w:rsid w:val="00367440"/>
    <w:rsid w:val="00372FC4"/>
    <w:rsid w:val="00376509"/>
    <w:rsid w:val="0037794F"/>
    <w:rsid w:val="00381822"/>
    <w:rsid w:val="003879BA"/>
    <w:rsid w:val="00391CB6"/>
    <w:rsid w:val="003923C5"/>
    <w:rsid w:val="00392BCD"/>
    <w:rsid w:val="0039668B"/>
    <w:rsid w:val="003A11FD"/>
    <w:rsid w:val="003A22DE"/>
    <w:rsid w:val="003A2639"/>
    <w:rsid w:val="003A2B93"/>
    <w:rsid w:val="003A4AFC"/>
    <w:rsid w:val="003A54A8"/>
    <w:rsid w:val="003B113F"/>
    <w:rsid w:val="003B2656"/>
    <w:rsid w:val="003B3945"/>
    <w:rsid w:val="003B5FA1"/>
    <w:rsid w:val="003B6F7D"/>
    <w:rsid w:val="003B7E49"/>
    <w:rsid w:val="003B7FA0"/>
    <w:rsid w:val="003C0FE5"/>
    <w:rsid w:val="003C5AFE"/>
    <w:rsid w:val="003C5D56"/>
    <w:rsid w:val="003D0266"/>
    <w:rsid w:val="003D0613"/>
    <w:rsid w:val="003D6521"/>
    <w:rsid w:val="003D77D3"/>
    <w:rsid w:val="003E00E5"/>
    <w:rsid w:val="003E19B5"/>
    <w:rsid w:val="003E53DA"/>
    <w:rsid w:val="003F01E4"/>
    <w:rsid w:val="003F26E4"/>
    <w:rsid w:val="003F5F97"/>
    <w:rsid w:val="004004B6"/>
    <w:rsid w:val="00402EB7"/>
    <w:rsid w:val="00403B5E"/>
    <w:rsid w:val="00404B11"/>
    <w:rsid w:val="00406A6C"/>
    <w:rsid w:val="00406F18"/>
    <w:rsid w:val="00410700"/>
    <w:rsid w:val="00411136"/>
    <w:rsid w:val="004141CC"/>
    <w:rsid w:val="00415A03"/>
    <w:rsid w:val="00416A95"/>
    <w:rsid w:val="0042558F"/>
    <w:rsid w:val="0042708B"/>
    <w:rsid w:val="00427F72"/>
    <w:rsid w:val="004335DE"/>
    <w:rsid w:val="0043760B"/>
    <w:rsid w:val="0043763B"/>
    <w:rsid w:val="00441012"/>
    <w:rsid w:val="00441192"/>
    <w:rsid w:val="004415A2"/>
    <w:rsid w:val="004424FD"/>
    <w:rsid w:val="004438DD"/>
    <w:rsid w:val="00443BFD"/>
    <w:rsid w:val="00444067"/>
    <w:rsid w:val="00445060"/>
    <w:rsid w:val="0044681F"/>
    <w:rsid w:val="00447FF4"/>
    <w:rsid w:val="00454572"/>
    <w:rsid w:val="004565C8"/>
    <w:rsid w:val="004616CE"/>
    <w:rsid w:val="00463286"/>
    <w:rsid w:val="00464638"/>
    <w:rsid w:val="0046475D"/>
    <w:rsid w:val="0046608F"/>
    <w:rsid w:val="00466FEA"/>
    <w:rsid w:val="00471192"/>
    <w:rsid w:val="004726C1"/>
    <w:rsid w:val="004739EE"/>
    <w:rsid w:val="004742B5"/>
    <w:rsid w:val="004745D4"/>
    <w:rsid w:val="004746E3"/>
    <w:rsid w:val="00474A0B"/>
    <w:rsid w:val="00475FEB"/>
    <w:rsid w:val="00480ADE"/>
    <w:rsid w:val="004938D3"/>
    <w:rsid w:val="004961AE"/>
    <w:rsid w:val="004A17B0"/>
    <w:rsid w:val="004A4127"/>
    <w:rsid w:val="004A440D"/>
    <w:rsid w:val="004A4994"/>
    <w:rsid w:val="004A7F28"/>
    <w:rsid w:val="004B0CA0"/>
    <w:rsid w:val="004B1EB0"/>
    <w:rsid w:val="004B2395"/>
    <w:rsid w:val="004B3180"/>
    <w:rsid w:val="004B5700"/>
    <w:rsid w:val="004B75A0"/>
    <w:rsid w:val="004B7CA1"/>
    <w:rsid w:val="004C070B"/>
    <w:rsid w:val="004C30C6"/>
    <w:rsid w:val="004C463E"/>
    <w:rsid w:val="004C4907"/>
    <w:rsid w:val="004C79B9"/>
    <w:rsid w:val="004C7ED3"/>
    <w:rsid w:val="004D243F"/>
    <w:rsid w:val="004D29A1"/>
    <w:rsid w:val="004D5584"/>
    <w:rsid w:val="004D650A"/>
    <w:rsid w:val="004D6A47"/>
    <w:rsid w:val="004D7524"/>
    <w:rsid w:val="004E0562"/>
    <w:rsid w:val="004E163E"/>
    <w:rsid w:val="004E68B0"/>
    <w:rsid w:val="004E6FA9"/>
    <w:rsid w:val="004E73F1"/>
    <w:rsid w:val="004E7C1E"/>
    <w:rsid w:val="004F33A5"/>
    <w:rsid w:val="004F3F98"/>
    <w:rsid w:val="004F58EC"/>
    <w:rsid w:val="004F5A44"/>
    <w:rsid w:val="004F63F2"/>
    <w:rsid w:val="004F7690"/>
    <w:rsid w:val="004F78ED"/>
    <w:rsid w:val="00500CED"/>
    <w:rsid w:val="00504D0B"/>
    <w:rsid w:val="00505E80"/>
    <w:rsid w:val="00506440"/>
    <w:rsid w:val="0050743D"/>
    <w:rsid w:val="005107AD"/>
    <w:rsid w:val="00514727"/>
    <w:rsid w:val="00522C9C"/>
    <w:rsid w:val="00525F2F"/>
    <w:rsid w:val="005301DC"/>
    <w:rsid w:val="005315EB"/>
    <w:rsid w:val="00532956"/>
    <w:rsid w:val="00533D03"/>
    <w:rsid w:val="00535646"/>
    <w:rsid w:val="00536FE9"/>
    <w:rsid w:val="00542380"/>
    <w:rsid w:val="0054359B"/>
    <w:rsid w:val="00544083"/>
    <w:rsid w:val="0054678B"/>
    <w:rsid w:val="0055040B"/>
    <w:rsid w:val="00551095"/>
    <w:rsid w:val="005519A3"/>
    <w:rsid w:val="00554905"/>
    <w:rsid w:val="005613CE"/>
    <w:rsid w:val="00561C1A"/>
    <w:rsid w:val="005653A8"/>
    <w:rsid w:val="00575497"/>
    <w:rsid w:val="005765B7"/>
    <w:rsid w:val="00576F54"/>
    <w:rsid w:val="005779A4"/>
    <w:rsid w:val="005805E6"/>
    <w:rsid w:val="00581F65"/>
    <w:rsid w:val="005875CB"/>
    <w:rsid w:val="00587AE6"/>
    <w:rsid w:val="00591664"/>
    <w:rsid w:val="00591AD9"/>
    <w:rsid w:val="00592767"/>
    <w:rsid w:val="00593259"/>
    <w:rsid w:val="00593750"/>
    <w:rsid w:val="005A18A6"/>
    <w:rsid w:val="005A3272"/>
    <w:rsid w:val="005A32F3"/>
    <w:rsid w:val="005A547B"/>
    <w:rsid w:val="005A60AC"/>
    <w:rsid w:val="005A6E02"/>
    <w:rsid w:val="005A7DF2"/>
    <w:rsid w:val="005A7F51"/>
    <w:rsid w:val="005B36E5"/>
    <w:rsid w:val="005B3C58"/>
    <w:rsid w:val="005B4C14"/>
    <w:rsid w:val="005B5871"/>
    <w:rsid w:val="005B778D"/>
    <w:rsid w:val="005C1DEB"/>
    <w:rsid w:val="005C259B"/>
    <w:rsid w:val="005C2C48"/>
    <w:rsid w:val="005C564C"/>
    <w:rsid w:val="005C5705"/>
    <w:rsid w:val="005C60E4"/>
    <w:rsid w:val="005C7E73"/>
    <w:rsid w:val="005D030C"/>
    <w:rsid w:val="005D1F6F"/>
    <w:rsid w:val="005D2D45"/>
    <w:rsid w:val="005D4A55"/>
    <w:rsid w:val="005D5117"/>
    <w:rsid w:val="005D7A4E"/>
    <w:rsid w:val="005D7F3D"/>
    <w:rsid w:val="005E07A8"/>
    <w:rsid w:val="005E21FA"/>
    <w:rsid w:val="005E2C62"/>
    <w:rsid w:val="005E3313"/>
    <w:rsid w:val="005E674A"/>
    <w:rsid w:val="005E755F"/>
    <w:rsid w:val="005F1D1C"/>
    <w:rsid w:val="005F20A2"/>
    <w:rsid w:val="005F5825"/>
    <w:rsid w:val="005F5BC4"/>
    <w:rsid w:val="005F5FAE"/>
    <w:rsid w:val="005F70C8"/>
    <w:rsid w:val="005F79C2"/>
    <w:rsid w:val="0060059D"/>
    <w:rsid w:val="00600821"/>
    <w:rsid w:val="00601526"/>
    <w:rsid w:val="00604382"/>
    <w:rsid w:val="006049EC"/>
    <w:rsid w:val="00604E27"/>
    <w:rsid w:val="00606969"/>
    <w:rsid w:val="00607994"/>
    <w:rsid w:val="00611FB3"/>
    <w:rsid w:val="00612114"/>
    <w:rsid w:val="00612649"/>
    <w:rsid w:val="00612A05"/>
    <w:rsid w:val="006201FF"/>
    <w:rsid w:val="00620D13"/>
    <w:rsid w:val="006224B7"/>
    <w:rsid w:val="00622643"/>
    <w:rsid w:val="00622A73"/>
    <w:rsid w:val="00624AF8"/>
    <w:rsid w:val="00624F56"/>
    <w:rsid w:val="00627EB8"/>
    <w:rsid w:val="00630AE3"/>
    <w:rsid w:val="00631C35"/>
    <w:rsid w:val="00632624"/>
    <w:rsid w:val="006328EC"/>
    <w:rsid w:val="00632952"/>
    <w:rsid w:val="00632E78"/>
    <w:rsid w:val="00634F92"/>
    <w:rsid w:val="006378F4"/>
    <w:rsid w:val="00641216"/>
    <w:rsid w:val="006463F7"/>
    <w:rsid w:val="00650EE2"/>
    <w:rsid w:val="00651E76"/>
    <w:rsid w:val="00651EE1"/>
    <w:rsid w:val="0065365C"/>
    <w:rsid w:val="00653AB3"/>
    <w:rsid w:val="0065432F"/>
    <w:rsid w:val="006543E9"/>
    <w:rsid w:val="00660BED"/>
    <w:rsid w:val="0066202F"/>
    <w:rsid w:val="00664FEC"/>
    <w:rsid w:val="006678E7"/>
    <w:rsid w:val="00667D92"/>
    <w:rsid w:val="00667DC6"/>
    <w:rsid w:val="00671103"/>
    <w:rsid w:val="00681141"/>
    <w:rsid w:val="00681DCE"/>
    <w:rsid w:val="00682038"/>
    <w:rsid w:val="006832E6"/>
    <w:rsid w:val="006837A3"/>
    <w:rsid w:val="00683D3C"/>
    <w:rsid w:val="00684E2A"/>
    <w:rsid w:val="0069443B"/>
    <w:rsid w:val="00694E36"/>
    <w:rsid w:val="00695E8B"/>
    <w:rsid w:val="006A3A9E"/>
    <w:rsid w:val="006A3AA7"/>
    <w:rsid w:val="006A75CD"/>
    <w:rsid w:val="006B3EF6"/>
    <w:rsid w:val="006B5A24"/>
    <w:rsid w:val="006B7FA2"/>
    <w:rsid w:val="006C10B6"/>
    <w:rsid w:val="006C2AFC"/>
    <w:rsid w:val="006C3A59"/>
    <w:rsid w:val="006C5E12"/>
    <w:rsid w:val="006C6EED"/>
    <w:rsid w:val="006C7424"/>
    <w:rsid w:val="006D1B95"/>
    <w:rsid w:val="006D2E35"/>
    <w:rsid w:val="006D2E8A"/>
    <w:rsid w:val="006D34A4"/>
    <w:rsid w:val="006D35B9"/>
    <w:rsid w:val="006D3B39"/>
    <w:rsid w:val="006D5891"/>
    <w:rsid w:val="006D5D63"/>
    <w:rsid w:val="006D7F21"/>
    <w:rsid w:val="006E0CC8"/>
    <w:rsid w:val="006E0F00"/>
    <w:rsid w:val="006E274B"/>
    <w:rsid w:val="006E4169"/>
    <w:rsid w:val="006E6D02"/>
    <w:rsid w:val="006F1831"/>
    <w:rsid w:val="006F5340"/>
    <w:rsid w:val="006F6956"/>
    <w:rsid w:val="006F709B"/>
    <w:rsid w:val="006F72B1"/>
    <w:rsid w:val="006F7585"/>
    <w:rsid w:val="007008E1"/>
    <w:rsid w:val="0070109A"/>
    <w:rsid w:val="00703F8A"/>
    <w:rsid w:val="0070496E"/>
    <w:rsid w:val="0070545C"/>
    <w:rsid w:val="00711B37"/>
    <w:rsid w:val="0071355F"/>
    <w:rsid w:val="00720A02"/>
    <w:rsid w:val="00722F80"/>
    <w:rsid w:val="0072439D"/>
    <w:rsid w:val="0072463E"/>
    <w:rsid w:val="00727F98"/>
    <w:rsid w:val="00727FB9"/>
    <w:rsid w:val="007340ED"/>
    <w:rsid w:val="00743D85"/>
    <w:rsid w:val="00745D30"/>
    <w:rsid w:val="0075054F"/>
    <w:rsid w:val="00751250"/>
    <w:rsid w:val="0075129C"/>
    <w:rsid w:val="00751390"/>
    <w:rsid w:val="0075151A"/>
    <w:rsid w:val="00753BA9"/>
    <w:rsid w:val="00753DA8"/>
    <w:rsid w:val="0075471D"/>
    <w:rsid w:val="00761ACC"/>
    <w:rsid w:val="00763898"/>
    <w:rsid w:val="00763C90"/>
    <w:rsid w:val="0076449A"/>
    <w:rsid w:val="00765C86"/>
    <w:rsid w:val="0076687D"/>
    <w:rsid w:val="007716E8"/>
    <w:rsid w:val="00771AB5"/>
    <w:rsid w:val="00771B54"/>
    <w:rsid w:val="00775E04"/>
    <w:rsid w:val="00777E0D"/>
    <w:rsid w:val="00777F37"/>
    <w:rsid w:val="0078145E"/>
    <w:rsid w:val="00783179"/>
    <w:rsid w:val="00783234"/>
    <w:rsid w:val="00785D81"/>
    <w:rsid w:val="007874E3"/>
    <w:rsid w:val="007934E9"/>
    <w:rsid w:val="00794B3E"/>
    <w:rsid w:val="0079583B"/>
    <w:rsid w:val="00797469"/>
    <w:rsid w:val="007974D0"/>
    <w:rsid w:val="007979E7"/>
    <w:rsid w:val="00797B8B"/>
    <w:rsid w:val="007A1D5D"/>
    <w:rsid w:val="007A2A9C"/>
    <w:rsid w:val="007A2FC1"/>
    <w:rsid w:val="007A4678"/>
    <w:rsid w:val="007A476B"/>
    <w:rsid w:val="007A7D08"/>
    <w:rsid w:val="007B04FE"/>
    <w:rsid w:val="007B1D77"/>
    <w:rsid w:val="007B2D38"/>
    <w:rsid w:val="007B523F"/>
    <w:rsid w:val="007B6C29"/>
    <w:rsid w:val="007C100A"/>
    <w:rsid w:val="007C22F1"/>
    <w:rsid w:val="007C3ECC"/>
    <w:rsid w:val="007C43B0"/>
    <w:rsid w:val="007C521F"/>
    <w:rsid w:val="007C7956"/>
    <w:rsid w:val="007D121C"/>
    <w:rsid w:val="007D159D"/>
    <w:rsid w:val="007D1A18"/>
    <w:rsid w:val="007E0E68"/>
    <w:rsid w:val="007E1FDA"/>
    <w:rsid w:val="007E4074"/>
    <w:rsid w:val="007E6542"/>
    <w:rsid w:val="007E6A3F"/>
    <w:rsid w:val="007F07E8"/>
    <w:rsid w:val="007F1716"/>
    <w:rsid w:val="007F28E8"/>
    <w:rsid w:val="007F383F"/>
    <w:rsid w:val="007F5709"/>
    <w:rsid w:val="007F59D2"/>
    <w:rsid w:val="007F5BFA"/>
    <w:rsid w:val="008029B5"/>
    <w:rsid w:val="00806994"/>
    <w:rsid w:val="0080713C"/>
    <w:rsid w:val="00807E22"/>
    <w:rsid w:val="008106B7"/>
    <w:rsid w:val="00810795"/>
    <w:rsid w:val="00810F0E"/>
    <w:rsid w:val="00815F9B"/>
    <w:rsid w:val="00821A0D"/>
    <w:rsid w:val="0083360F"/>
    <w:rsid w:val="00837CE7"/>
    <w:rsid w:val="00841E1C"/>
    <w:rsid w:val="00843055"/>
    <w:rsid w:val="008430C9"/>
    <w:rsid w:val="0084591A"/>
    <w:rsid w:val="00845B49"/>
    <w:rsid w:val="00846320"/>
    <w:rsid w:val="008471B9"/>
    <w:rsid w:val="00851D79"/>
    <w:rsid w:val="00852B52"/>
    <w:rsid w:val="00854CF9"/>
    <w:rsid w:val="008562B1"/>
    <w:rsid w:val="0085697C"/>
    <w:rsid w:val="00861DB5"/>
    <w:rsid w:val="0086392A"/>
    <w:rsid w:val="008653E1"/>
    <w:rsid w:val="00866ED4"/>
    <w:rsid w:val="008678E5"/>
    <w:rsid w:val="0087071A"/>
    <w:rsid w:val="00870920"/>
    <w:rsid w:val="0087197E"/>
    <w:rsid w:val="00871F05"/>
    <w:rsid w:val="0087209D"/>
    <w:rsid w:val="008721D2"/>
    <w:rsid w:val="00874146"/>
    <w:rsid w:val="008759BE"/>
    <w:rsid w:val="0088031A"/>
    <w:rsid w:val="008817B2"/>
    <w:rsid w:val="00882E53"/>
    <w:rsid w:val="008844B3"/>
    <w:rsid w:val="00884929"/>
    <w:rsid w:val="00886411"/>
    <w:rsid w:val="0088694A"/>
    <w:rsid w:val="00886C7E"/>
    <w:rsid w:val="00891487"/>
    <w:rsid w:val="00891E3A"/>
    <w:rsid w:val="0089283D"/>
    <w:rsid w:val="00892F5B"/>
    <w:rsid w:val="008942A6"/>
    <w:rsid w:val="008A00BC"/>
    <w:rsid w:val="008A083A"/>
    <w:rsid w:val="008A16D0"/>
    <w:rsid w:val="008A2789"/>
    <w:rsid w:val="008A3B0D"/>
    <w:rsid w:val="008A4B9D"/>
    <w:rsid w:val="008A6A91"/>
    <w:rsid w:val="008A7CF6"/>
    <w:rsid w:val="008B0F30"/>
    <w:rsid w:val="008B29A9"/>
    <w:rsid w:val="008B3EAB"/>
    <w:rsid w:val="008B4D9C"/>
    <w:rsid w:val="008B60EA"/>
    <w:rsid w:val="008B6D66"/>
    <w:rsid w:val="008B6D98"/>
    <w:rsid w:val="008B6FB5"/>
    <w:rsid w:val="008B7560"/>
    <w:rsid w:val="008C11CA"/>
    <w:rsid w:val="008C2128"/>
    <w:rsid w:val="008C470A"/>
    <w:rsid w:val="008D010E"/>
    <w:rsid w:val="008D198C"/>
    <w:rsid w:val="008D3983"/>
    <w:rsid w:val="008D4EFE"/>
    <w:rsid w:val="008D6E4A"/>
    <w:rsid w:val="008E0241"/>
    <w:rsid w:val="008E1C42"/>
    <w:rsid w:val="008E468B"/>
    <w:rsid w:val="008E71F2"/>
    <w:rsid w:val="008E74D4"/>
    <w:rsid w:val="008E7B5D"/>
    <w:rsid w:val="008F04EC"/>
    <w:rsid w:val="008F4106"/>
    <w:rsid w:val="008F5F3B"/>
    <w:rsid w:val="00902B3B"/>
    <w:rsid w:val="00903B9C"/>
    <w:rsid w:val="00903C52"/>
    <w:rsid w:val="00906E7B"/>
    <w:rsid w:val="0090704D"/>
    <w:rsid w:val="00907282"/>
    <w:rsid w:val="0091074C"/>
    <w:rsid w:val="00914FF4"/>
    <w:rsid w:val="009154CF"/>
    <w:rsid w:val="009155AC"/>
    <w:rsid w:val="00915FC9"/>
    <w:rsid w:val="00923A1A"/>
    <w:rsid w:val="00924519"/>
    <w:rsid w:val="00924F1A"/>
    <w:rsid w:val="009271C1"/>
    <w:rsid w:val="009274C2"/>
    <w:rsid w:val="009279BE"/>
    <w:rsid w:val="009308B0"/>
    <w:rsid w:val="00930BE5"/>
    <w:rsid w:val="0093185C"/>
    <w:rsid w:val="00931920"/>
    <w:rsid w:val="00940A4D"/>
    <w:rsid w:val="00941AB8"/>
    <w:rsid w:val="00943394"/>
    <w:rsid w:val="009435E6"/>
    <w:rsid w:val="00943C88"/>
    <w:rsid w:val="00944F69"/>
    <w:rsid w:val="00945B76"/>
    <w:rsid w:val="0094658C"/>
    <w:rsid w:val="00947BEB"/>
    <w:rsid w:val="00947DE7"/>
    <w:rsid w:val="00950DFC"/>
    <w:rsid w:val="00955B04"/>
    <w:rsid w:val="00960588"/>
    <w:rsid w:val="00960C7D"/>
    <w:rsid w:val="009625BD"/>
    <w:rsid w:val="00963FEA"/>
    <w:rsid w:val="009652B8"/>
    <w:rsid w:val="00966577"/>
    <w:rsid w:val="009675EC"/>
    <w:rsid w:val="00970D90"/>
    <w:rsid w:val="00972B65"/>
    <w:rsid w:val="00972F46"/>
    <w:rsid w:val="0097463C"/>
    <w:rsid w:val="00976449"/>
    <w:rsid w:val="00976C46"/>
    <w:rsid w:val="009776C8"/>
    <w:rsid w:val="0098047C"/>
    <w:rsid w:val="00981E31"/>
    <w:rsid w:val="00984F2B"/>
    <w:rsid w:val="009862C7"/>
    <w:rsid w:val="0099011B"/>
    <w:rsid w:val="00991061"/>
    <w:rsid w:val="0099106D"/>
    <w:rsid w:val="009934BD"/>
    <w:rsid w:val="0099414D"/>
    <w:rsid w:val="0099477A"/>
    <w:rsid w:val="00995F30"/>
    <w:rsid w:val="00996B00"/>
    <w:rsid w:val="009A3566"/>
    <w:rsid w:val="009A41AF"/>
    <w:rsid w:val="009A496E"/>
    <w:rsid w:val="009B050E"/>
    <w:rsid w:val="009B07D8"/>
    <w:rsid w:val="009B106D"/>
    <w:rsid w:val="009B14D8"/>
    <w:rsid w:val="009B22DC"/>
    <w:rsid w:val="009B4103"/>
    <w:rsid w:val="009B5F46"/>
    <w:rsid w:val="009B6A8B"/>
    <w:rsid w:val="009C020F"/>
    <w:rsid w:val="009C28BB"/>
    <w:rsid w:val="009C5752"/>
    <w:rsid w:val="009D23F5"/>
    <w:rsid w:val="009D2590"/>
    <w:rsid w:val="009D27B4"/>
    <w:rsid w:val="009D3420"/>
    <w:rsid w:val="009D3CFB"/>
    <w:rsid w:val="009D7F02"/>
    <w:rsid w:val="009E12C6"/>
    <w:rsid w:val="009E421C"/>
    <w:rsid w:val="009E44A7"/>
    <w:rsid w:val="009E592B"/>
    <w:rsid w:val="009E733F"/>
    <w:rsid w:val="009F3FF0"/>
    <w:rsid w:val="009F68B9"/>
    <w:rsid w:val="009F7BD0"/>
    <w:rsid w:val="00A00B8E"/>
    <w:rsid w:val="00A012F8"/>
    <w:rsid w:val="00A01679"/>
    <w:rsid w:val="00A0169B"/>
    <w:rsid w:val="00A03D2C"/>
    <w:rsid w:val="00A06053"/>
    <w:rsid w:val="00A061B2"/>
    <w:rsid w:val="00A0648D"/>
    <w:rsid w:val="00A06978"/>
    <w:rsid w:val="00A06D3E"/>
    <w:rsid w:val="00A06FC2"/>
    <w:rsid w:val="00A10324"/>
    <w:rsid w:val="00A1097B"/>
    <w:rsid w:val="00A10FB4"/>
    <w:rsid w:val="00A1146E"/>
    <w:rsid w:val="00A11A88"/>
    <w:rsid w:val="00A1299E"/>
    <w:rsid w:val="00A1535B"/>
    <w:rsid w:val="00A15899"/>
    <w:rsid w:val="00A16D1A"/>
    <w:rsid w:val="00A1745A"/>
    <w:rsid w:val="00A2488B"/>
    <w:rsid w:val="00A25871"/>
    <w:rsid w:val="00A26D59"/>
    <w:rsid w:val="00A33ACC"/>
    <w:rsid w:val="00A36DA2"/>
    <w:rsid w:val="00A416E4"/>
    <w:rsid w:val="00A42DD6"/>
    <w:rsid w:val="00A4461C"/>
    <w:rsid w:val="00A44736"/>
    <w:rsid w:val="00A46016"/>
    <w:rsid w:val="00A462FE"/>
    <w:rsid w:val="00A478DA"/>
    <w:rsid w:val="00A50367"/>
    <w:rsid w:val="00A511FA"/>
    <w:rsid w:val="00A525A3"/>
    <w:rsid w:val="00A53F18"/>
    <w:rsid w:val="00A558CE"/>
    <w:rsid w:val="00A55944"/>
    <w:rsid w:val="00A601F3"/>
    <w:rsid w:val="00A60460"/>
    <w:rsid w:val="00A614E6"/>
    <w:rsid w:val="00A61A36"/>
    <w:rsid w:val="00A647B0"/>
    <w:rsid w:val="00A66887"/>
    <w:rsid w:val="00A66970"/>
    <w:rsid w:val="00A70B73"/>
    <w:rsid w:val="00A74D1D"/>
    <w:rsid w:val="00A77249"/>
    <w:rsid w:val="00A820FB"/>
    <w:rsid w:val="00A82161"/>
    <w:rsid w:val="00A824E2"/>
    <w:rsid w:val="00A82A30"/>
    <w:rsid w:val="00A82CB9"/>
    <w:rsid w:val="00A86782"/>
    <w:rsid w:val="00A8710D"/>
    <w:rsid w:val="00A87965"/>
    <w:rsid w:val="00A90A87"/>
    <w:rsid w:val="00A92DE1"/>
    <w:rsid w:val="00A952CC"/>
    <w:rsid w:val="00AA0179"/>
    <w:rsid w:val="00AA0BF6"/>
    <w:rsid w:val="00AA0E65"/>
    <w:rsid w:val="00AA46EB"/>
    <w:rsid w:val="00AA6926"/>
    <w:rsid w:val="00AA713A"/>
    <w:rsid w:val="00AA71E8"/>
    <w:rsid w:val="00AB13C1"/>
    <w:rsid w:val="00AB3432"/>
    <w:rsid w:val="00AB7A29"/>
    <w:rsid w:val="00AC1FF5"/>
    <w:rsid w:val="00AC32EE"/>
    <w:rsid w:val="00AC330D"/>
    <w:rsid w:val="00AC45CE"/>
    <w:rsid w:val="00AD0E3B"/>
    <w:rsid w:val="00AD2995"/>
    <w:rsid w:val="00AE3838"/>
    <w:rsid w:val="00AE4746"/>
    <w:rsid w:val="00AE4761"/>
    <w:rsid w:val="00AE7AA6"/>
    <w:rsid w:val="00AF7357"/>
    <w:rsid w:val="00B00326"/>
    <w:rsid w:val="00B011BB"/>
    <w:rsid w:val="00B0180B"/>
    <w:rsid w:val="00B0216B"/>
    <w:rsid w:val="00B02A65"/>
    <w:rsid w:val="00B02DBF"/>
    <w:rsid w:val="00B03766"/>
    <w:rsid w:val="00B053BA"/>
    <w:rsid w:val="00B07049"/>
    <w:rsid w:val="00B07A3B"/>
    <w:rsid w:val="00B12142"/>
    <w:rsid w:val="00B15C5F"/>
    <w:rsid w:val="00B16E14"/>
    <w:rsid w:val="00B217CC"/>
    <w:rsid w:val="00B278F1"/>
    <w:rsid w:val="00B32A29"/>
    <w:rsid w:val="00B3386C"/>
    <w:rsid w:val="00B3745C"/>
    <w:rsid w:val="00B40574"/>
    <w:rsid w:val="00B41C54"/>
    <w:rsid w:val="00B4353C"/>
    <w:rsid w:val="00B4353F"/>
    <w:rsid w:val="00B46BDA"/>
    <w:rsid w:val="00B46DD6"/>
    <w:rsid w:val="00B5031E"/>
    <w:rsid w:val="00B50AB2"/>
    <w:rsid w:val="00B54EA3"/>
    <w:rsid w:val="00B55256"/>
    <w:rsid w:val="00B5573D"/>
    <w:rsid w:val="00B5798B"/>
    <w:rsid w:val="00B60CE7"/>
    <w:rsid w:val="00B60D59"/>
    <w:rsid w:val="00B61A9E"/>
    <w:rsid w:val="00B664DA"/>
    <w:rsid w:val="00B67CC7"/>
    <w:rsid w:val="00B67D4A"/>
    <w:rsid w:val="00B70071"/>
    <w:rsid w:val="00B70CA6"/>
    <w:rsid w:val="00B713B9"/>
    <w:rsid w:val="00B71A7B"/>
    <w:rsid w:val="00B81424"/>
    <w:rsid w:val="00B82F07"/>
    <w:rsid w:val="00B84FE5"/>
    <w:rsid w:val="00B873D0"/>
    <w:rsid w:val="00B90258"/>
    <w:rsid w:val="00B95037"/>
    <w:rsid w:val="00B959D3"/>
    <w:rsid w:val="00B96DC9"/>
    <w:rsid w:val="00B97913"/>
    <w:rsid w:val="00BA3CA9"/>
    <w:rsid w:val="00BA3DB2"/>
    <w:rsid w:val="00BA473B"/>
    <w:rsid w:val="00BA6F3D"/>
    <w:rsid w:val="00BB2317"/>
    <w:rsid w:val="00BB2C36"/>
    <w:rsid w:val="00BB518B"/>
    <w:rsid w:val="00BB766C"/>
    <w:rsid w:val="00BC1357"/>
    <w:rsid w:val="00BC30AF"/>
    <w:rsid w:val="00BC433E"/>
    <w:rsid w:val="00BC5EF6"/>
    <w:rsid w:val="00BD1788"/>
    <w:rsid w:val="00BD66D0"/>
    <w:rsid w:val="00BD7569"/>
    <w:rsid w:val="00BE0508"/>
    <w:rsid w:val="00BE0A0B"/>
    <w:rsid w:val="00BE0DFF"/>
    <w:rsid w:val="00BE24C1"/>
    <w:rsid w:val="00BE545C"/>
    <w:rsid w:val="00BF45DA"/>
    <w:rsid w:val="00BF4814"/>
    <w:rsid w:val="00BF77EF"/>
    <w:rsid w:val="00C0058C"/>
    <w:rsid w:val="00C01F2A"/>
    <w:rsid w:val="00C0345A"/>
    <w:rsid w:val="00C04084"/>
    <w:rsid w:val="00C04E28"/>
    <w:rsid w:val="00C067A1"/>
    <w:rsid w:val="00C10AEA"/>
    <w:rsid w:val="00C149B3"/>
    <w:rsid w:val="00C14BF2"/>
    <w:rsid w:val="00C1506B"/>
    <w:rsid w:val="00C17163"/>
    <w:rsid w:val="00C20D12"/>
    <w:rsid w:val="00C23431"/>
    <w:rsid w:val="00C24E98"/>
    <w:rsid w:val="00C2672B"/>
    <w:rsid w:val="00C3027B"/>
    <w:rsid w:val="00C33551"/>
    <w:rsid w:val="00C343AE"/>
    <w:rsid w:val="00C427FD"/>
    <w:rsid w:val="00C449DA"/>
    <w:rsid w:val="00C45F36"/>
    <w:rsid w:val="00C54C5D"/>
    <w:rsid w:val="00C56290"/>
    <w:rsid w:val="00C56EE5"/>
    <w:rsid w:val="00C5730A"/>
    <w:rsid w:val="00C60AEA"/>
    <w:rsid w:val="00C62EAD"/>
    <w:rsid w:val="00C65A4B"/>
    <w:rsid w:val="00C65AE0"/>
    <w:rsid w:val="00C668F1"/>
    <w:rsid w:val="00C66AD2"/>
    <w:rsid w:val="00C70AC5"/>
    <w:rsid w:val="00C70DD2"/>
    <w:rsid w:val="00C73DC2"/>
    <w:rsid w:val="00C73FCD"/>
    <w:rsid w:val="00C76040"/>
    <w:rsid w:val="00C766C6"/>
    <w:rsid w:val="00C76C8E"/>
    <w:rsid w:val="00C7773C"/>
    <w:rsid w:val="00C82A71"/>
    <w:rsid w:val="00C82EFD"/>
    <w:rsid w:val="00C83DCD"/>
    <w:rsid w:val="00C928C1"/>
    <w:rsid w:val="00C942B1"/>
    <w:rsid w:val="00C9586A"/>
    <w:rsid w:val="00CA1B9A"/>
    <w:rsid w:val="00CA4D29"/>
    <w:rsid w:val="00CA5395"/>
    <w:rsid w:val="00CA660F"/>
    <w:rsid w:val="00CB3450"/>
    <w:rsid w:val="00CB512F"/>
    <w:rsid w:val="00CC167E"/>
    <w:rsid w:val="00CC184F"/>
    <w:rsid w:val="00CC3AAF"/>
    <w:rsid w:val="00CC6526"/>
    <w:rsid w:val="00CC7AB2"/>
    <w:rsid w:val="00CD344E"/>
    <w:rsid w:val="00CD370E"/>
    <w:rsid w:val="00CD6B99"/>
    <w:rsid w:val="00CE793E"/>
    <w:rsid w:val="00CF04E6"/>
    <w:rsid w:val="00CF0B92"/>
    <w:rsid w:val="00CF24E1"/>
    <w:rsid w:val="00CF3836"/>
    <w:rsid w:val="00CF50D5"/>
    <w:rsid w:val="00CF6454"/>
    <w:rsid w:val="00CF6EB3"/>
    <w:rsid w:val="00D00D40"/>
    <w:rsid w:val="00D02333"/>
    <w:rsid w:val="00D02491"/>
    <w:rsid w:val="00D02A8F"/>
    <w:rsid w:val="00D03F0E"/>
    <w:rsid w:val="00D04855"/>
    <w:rsid w:val="00D0578A"/>
    <w:rsid w:val="00D0646B"/>
    <w:rsid w:val="00D067BC"/>
    <w:rsid w:val="00D10414"/>
    <w:rsid w:val="00D15040"/>
    <w:rsid w:val="00D15CD5"/>
    <w:rsid w:val="00D15E43"/>
    <w:rsid w:val="00D164A8"/>
    <w:rsid w:val="00D2040D"/>
    <w:rsid w:val="00D20F9D"/>
    <w:rsid w:val="00D278D5"/>
    <w:rsid w:val="00D3130C"/>
    <w:rsid w:val="00D3735F"/>
    <w:rsid w:val="00D41559"/>
    <w:rsid w:val="00D430C3"/>
    <w:rsid w:val="00D43B84"/>
    <w:rsid w:val="00D43BD8"/>
    <w:rsid w:val="00D44790"/>
    <w:rsid w:val="00D47977"/>
    <w:rsid w:val="00D50983"/>
    <w:rsid w:val="00D52143"/>
    <w:rsid w:val="00D530AB"/>
    <w:rsid w:val="00D53611"/>
    <w:rsid w:val="00D54D6B"/>
    <w:rsid w:val="00D5571F"/>
    <w:rsid w:val="00D55839"/>
    <w:rsid w:val="00D56235"/>
    <w:rsid w:val="00D60396"/>
    <w:rsid w:val="00D60CBA"/>
    <w:rsid w:val="00D625AE"/>
    <w:rsid w:val="00D6396C"/>
    <w:rsid w:val="00D64B35"/>
    <w:rsid w:val="00D65FA8"/>
    <w:rsid w:val="00D66B9B"/>
    <w:rsid w:val="00D6711B"/>
    <w:rsid w:val="00D6747D"/>
    <w:rsid w:val="00D775D4"/>
    <w:rsid w:val="00D777FE"/>
    <w:rsid w:val="00D80E24"/>
    <w:rsid w:val="00D82C3F"/>
    <w:rsid w:val="00D83163"/>
    <w:rsid w:val="00D83529"/>
    <w:rsid w:val="00D83A98"/>
    <w:rsid w:val="00D871EC"/>
    <w:rsid w:val="00D915E3"/>
    <w:rsid w:val="00D92306"/>
    <w:rsid w:val="00D9307F"/>
    <w:rsid w:val="00D94D14"/>
    <w:rsid w:val="00DA120C"/>
    <w:rsid w:val="00DA3EEA"/>
    <w:rsid w:val="00DA4155"/>
    <w:rsid w:val="00DA4F19"/>
    <w:rsid w:val="00DA5394"/>
    <w:rsid w:val="00DB122F"/>
    <w:rsid w:val="00DB434A"/>
    <w:rsid w:val="00DB5691"/>
    <w:rsid w:val="00DB5CA5"/>
    <w:rsid w:val="00DC1FB6"/>
    <w:rsid w:val="00DC3356"/>
    <w:rsid w:val="00DC3870"/>
    <w:rsid w:val="00DD16CB"/>
    <w:rsid w:val="00DD32A4"/>
    <w:rsid w:val="00DD4224"/>
    <w:rsid w:val="00DD5F47"/>
    <w:rsid w:val="00DD6A80"/>
    <w:rsid w:val="00DE110D"/>
    <w:rsid w:val="00DE35C5"/>
    <w:rsid w:val="00DE53AC"/>
    <w:rsid w:val="00DE6997"/>
    <w:rsid w:val="00DE69B5"/>
    <w:rsid w:val="00DE7A0D"/>
    <w:rsid w:val="00DF2590"/>
    <w:rsid w:val="00DF38AE"/>
    <w:rsid w:val="00DF3923"/>
    <w:rsid w:val="00DF3960"/>
    <w:rsid w:val="00DF504D"/>
    <w:rsid w:val="00DF539E"/>
    <w:rsid w:val="00DF62AD"/>
    <w:rsid w:val="00DF6D02"/>
    <w:rsid w:val="00DF7833"/>
    <w:rsid w:val="00DF7CD8"/>
    <w:rsid w:val="00E008DB"/>
    <w:rsid w:val="00E01D09"/>
    <w:rsid w:val="00E04064"/>
    <w:rsid w:val="00E1766F"/>
    <w:rsid w:val="00E2077C"/>
    <w:rsid w:val="00E21716"/>
    <w:rsid w:val="00E21DCD"/>
    <w:rsid w:val="00E22A97"/>
    <w:rsid w:val="00E24674"/>
    <w:rsid w:val="00E24F6A"/>
    <w:rsid w:val="00E257AD"/>
    <w:rsid w:val="00E2638F"/>
    <w:rsid w:val="00E26B24"/>
    <w:rsid w:val="00E27D62"/>
    <w:rsid w:val="00E301FA"/>
    <w:rsid w:val="00E30805"/>
    <w:rsid w:val="00E30E6E"/>
    <w:rsid w:val="00E32C7D"/>
    <w:rsid w:val="00E32D19"/>
    <w:rsid w:val="00E367D4"/>
    <w:rsid w:val="00E404C4"/>
    <w:rsid w:val="00E407C4"/>
    <w:rsid w:val="00E456D9"/>
    <w:rsid w:val="00E4734B"/>
    <w:rsid w:val="00E500BC"/>
    <w:rsid w:val="00E508F1"/>
    <w:rsid w:val="00E546F0"/>
    <w:rsid w:val="00E57727"/>
    <w:rsid w:val="00E61E0B"/>
    <w:rsid w:val="00E64CFF"/>
    <w:rsid w:val="00E70426"/>
    <w:rsid w:val="00E73462"/>
    <w:rsid w:val="00E73DF7"/>
    <w:rsid w:val="00E765FC"/>
    <w:rsid w:val="00E768D7"/>
    <w:rsid w:val="00E77E08"/>
    <w:rsid w:val="00E805F0"/>
    <w:rsid w:val="00E837F9"/>
    <w:rsid w:val="00E8463C"/>
    <w:rsid w:val="00E927C6"/>
    <w:rsid w:val="00E939C6"/>
    <w:rsid w:val="00E939DB"/>
    <w:rsid w:val="00E9404E"/>
    <w:rsid w:val="00E95D1F"/>
    <w:rsid w:val="00E95F9F"/>
    <w:rsid w:val="00EA00ED"/>
    <w:rsid w:val="00EA08B4"/>
    <w:rsid w:val="00EA133C"/>
    <w:rsid w:val="00EA672F"/>
    <w:rsid w:val="00EB2A23"/>
    <w:rsid w:val="00EB5407"/>
    <w:rsid w:val="00EB6581"/>
    <w:rsid w:val="00EC0EB0"/>
    <w:rsid w:val="00EC2234"/>
    <w:rsid w:val="00EC2E3C"/>
    <w:rsid w:val="00EC4170"/>
    <w:rsid w:val="00EC7484"/>
    <w:rsid w:val="00EC7629"/>
    <w:rsid w:val="00EC7ABC"/>
    <w:rsid w:val="00ED0DDB"/>
    <w:rsid w:val="00ED28F8"/>
    <w:rsid w:val="00ED3255"/>
    <w:rsid w:val="00ED38B1"/>
    <w:rsid w:val="00ED3945"/>
    <w:rsid w:val="00ED4889"/>
    <w:rsid w:val="00ED6C38"/>
    <w:rsid w:val="00ED711F"/>
    <w:rsid w:val="00ED79F7"/>
    <w:rsid w:val="00EE0E52"/>
    <w:rsid w:val="00EE24C3"/>
    <w:rsid w:val="00EE4BCC"/>
    <w:rsid w:val="00EE7EB2"/>
    <w:rsid w:val="00EF5A8E"/>
    <w:rsid w:val="00F04B23"/>
    <w:rsid w:val="00F0577F"/>
    <w:rsid w:val="00F05851"/>
    <w:rsid w:val="00F13476"/>
    <w:rsid w:val="00F139CB"/>
    <w:rsid w:val="00F20CA6"/>
    <w:rsid w:val="00F22AFF"/>
    <w:rsid w:val="00F236E4"/>
    <w:rsid w:val="00F24065"/>
    <w:rsid w:val="00F246C7"/>
    <w:rsid w:val="00F2553F"/>
    <w:rsid w:val="00F2566A"/>
    <w:rsid w:val="00F260D1"/>
    <w:rsid w:val="00F26CA8"/>
    <w:rsid w:val="00F2703B"/>
    <w:rsid w:val="00F30D62"/>
    <w:rsid w:val="00F3421A"/>
    <w:rsid w:val="00F343E5"/>
    <w:rsid w:val="00F34F9B"/>
    <w:rsid w:val="00F37ECA"/>
    <w:rsid w:val="00F41285"/>
    <w:rsid w:val="00F41DF7"/>
    <w:rsid w:val="00F41F02"/>
    <w:rsid w:val="00F4236D"/>
    <w:rsid w:val="00F44072"/>
    <w:rsid w:val="00F52A30"/>
    <w:rsid w:val="00F53BA7"/>
    <w:rsid w:val="00F55A5E"/>
    <w:rsid w:val="00F57801"/>
    <w:rsid w:val="00F611A4"/>
    <w:rsid w:val="00F61290"/>
    <w:rsid w:val="00F62A03"/>
    <w:rsid w:val="00F62E93"/>
    <w:rsid w:val="00F63477"/>
    <w:rsid w:val="00F6473A"/>
    <w:rsid w:val="00F656A6"/>
    <w:rsid w:val="00F66BB2"/>
    <w:rsid w:val="00F679A5"/>
    <w:rsid w:val="00F7108C"/>
    <w:rsid w:val="00F71224"/>
    <w:rsid w:val="00F72A92"/>
    <w:rsid w:val="00F72BBB"/>
    <w:rsid w:val="00F73FDD"/>
    <w:rsid w:val="00F843A1"/>
    <w:rsid w:val="00F86088"/>
    <w:rsid w:val="00F87B67"/>
    <w:rsid w:val="00F9090B"/>
    <w:rsid w:val="00F90D45"/>
    <w:rsid w:val="00F914AF"/>
    <w:rsid w:val="00F927E5"/>
    <w:rsid w:val="00F948F4"/>
    <w:rsid w:val="00F95241"/>
    <w:rsid w:val="00F97293"/>
    <w:rsid w:val="00F976FF"/>
    <w:rsid w:val="00FA52FF"/>
    <w:rsid w:val="00FA57D3"/>
    <w:rsid w:val="00FA67EB"/>
    <w:rsid w:val="00FA7ADB"/>
    <w:rsid w:val="00FA7B83"/>
    <w:rsid w:val="00FB0CEB"/>
    <w:rsid w:val="00FB35EE"/>
    <w:rsid w:val="00FB36AC"/>
    <w:rsid w:val="00FB7A4E"/>
    <w:rsid w:val="00FC0608"/>
    <w:rsid w:val="00FC069F"/>
    <w:rsid w:val="00FC09A5"/>
    <w:rsid w:val="00FC29C7"/>
    <w:rsid w:val="00FC3D00"/>
    <w:rsid w:val="00FC4BF8"/>
    <w:rsid w:val="00FC4D81"/>
    <w:rsid w:val="00FC4DB7"/>
    <w:rsid w:val="00FD1E71"/>
    <w:rsid w:val="00FD2522"/>
    <w:rsid w:val="00FD27E0"/>
    <w:rsid w:val="00FD29AD"/>
    <w:rsid w:val="00FD3278"/>
    <w:rsid w:val="00FD3926"/>
    <w:rsid w:val="00FD3C19"/>
    <w:rsid w:val="00FD5665"/>
    <w:rsid w:val="00FD5693"/>
    <w:rsid w:val="00FD6CDF"/>
    <w:rsid w:val="00FD6FF9"/>
    <w:rsid w:val="00FD731E"/>
    <w:rsid w:val="00FD7593"/>
    <w:rsid w:val="00FE0A85"/>
    <w:rsid w:val="00FE1522"/>
    <w:rsid w:val="00FE3C10"/>
    <w:rsid w:val="00FE521E"/>
    <w:rsid w:val="00FE5EED"/>
    <w:rsid w:val="00FE7A69"/>
    <w:rsid w:val="00FE7B02"/>
    <w:rsid w:val="00FF0D99"/>
    <w:rsid w:val="00FF1251"/>
    <w:rsid w:val="00FF1933"/>
    <w:rsid w:val="00FF480E"/>
    <w:rsid w:val="00FF627B"/>
    <w:rsid w:val="00FF6C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6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A15899"/>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qFormat/>
    <w:rsid w:val="00B67CC7"/>
    <w:pPr>
      <w:pageBreakBefore w:val="0"/>
      <w:numPr>
        <w:ilvl w:val="1"/>
        <w:numId w:val="6"/>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6"/>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6"/>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uiPriority w:val="99"/>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3"/>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FF1251"/>
    <w:rPr>
      <w:color w:val="7030A0"/>
    </w:rPr>
  </w:style>
  <w:style w:type="paragraph" w:customStyle="1" w:styleId="PPVRecommendation">
    <w:name w:val="PPV Recommendation"/>
    <w:basedOn w:val="Normal"/>
    <w:link w:val="PPVRecommendationChar"/>
    <w:qFormat/>
    <w:rsid w:val="009155AC"/>
    <w:pPr>
      <w:numPr>
        <w:numId w:val="4"/>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591AD9"/>
    <w:pPr>
      <w:numPr>
        <w:numId w:val="8"/>
      </w:numPr>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Default">
    <w:name w:val="Default"/>
    <w:rsid w:val="008A6A91"/>
    <w:pPr>
      <w:autoSpaceDE w:val="0"/>
      <w:autoSpaceDN w:val="0"/>
      <w:adjustRightInd w:val="0"/>
    </w:pPr>
    <w:rPr>
      <w:color w:val="000000"/>
      <w:sz w:val="24"/>
      <w:szCs w:val="24"/>
    </w:rPr>
  </w:style>
  <w:style w:type="character" w:customStyle="1" w:styleId="A12">
    <w:name w:val="A12"/>
    <w:uiPriority w:val="99"/>
    <w:rsid w:val="00E8463C"/>
    <w:rPr>
      <w:rFonts w:cs="DIN"/>
      <w:color w:val="403F41"/>
      <w:sz w:val="20"/>
      <w:szCs w:val="20"/>
    </w:rPr>
  </w:style>
  <w:style w:type="character" w:customStyle="1" w:styleId="Heading2Char">
    <w:name w:val="Heading 2 Char"/>
    <w:aliases w:val="H2 PPV Heading 2 Char"/>
    <w:basedOn w:val="DefaultParagraphFont"/>
    <w:link w:val="Heading2"/>
    <w:rsid w:val="0028748F"/>
    <w:rPr>
      <w:rFonts w:ascii="Calibri" w:eastAsia="Dotum" w:hAnsi="Calibri" w:cs="Calibri"/>
      <w:b/>
      <w:kern w:val="32"/>
      <w:sz w:val="28"/>
      <w:szCs w:val="28"/>
    </w:rPr>
  </w:style>
  <w:style w:type="character" w:customStyle="1" w:styleId="Heading4Char">
    <w:name w:val="Heading 4 Char"/>
    <w:aliases w:val="H4 PPV Heading 3A (roman) Char,H4 PPV Heading 4 Char"/>
    <w:basedOn w:val="DefaultParagraphFont"/>
    <w:link w:val="Heading4"/>
    <w:rsid w:val="0028748F"/>
    <w:rPr>
      <w:rFonts w:ascii="Calibri" w:hAnsi="Calibri" w:cs="Calibri"/>
      <w:b/>
      <w:sz w:val="24"/>
      <w:szCs w:val="24"/>
    </w:rPr>
  </w:style>
  <w:style w:type="paragraph" w:customStyle="1" w:styleId="Numpara1">
    <w:name w:val="Numpara1"/>
    <w:basedOn w:val="Normal"/>
    <w:link w:val="Numpara1Char"/>
    <w:qFormat/>
    <w:rsid w:val="00525F2F"/>
    <w:pPr>
      <w:numPr>
        <w:numId w:val="9"/>
      </w:numPr>
      <w:spacing w:before="240" w:line="360" w:lineRule="auto"/>
      <w:jc w:val="left"/>
    </w:pPr>
    <w:rPr>
      <w:rFonts w:ascii="Arial" w:hAnsi="Arial" w:cs="Arial"/>
      <w:sz w:val="20"/>
      <w:szCs w:val="22"/>
      <w:lang w:eastAsia="en-US"/>
    </w:rPr>
  </w:style>
  <w:style w:type="character" w:customStyle="1" w:styleId="Numpara1Char">
    <w:name w:val="Numpara1 Char"/>
    <w:link w:val="Numpara1"/>
    <w:locked/>
    <w:rsid w:val="00525F2F"/>
    <w:rPr>
      <w:rFonts w:ascii="Arial" w:hAnsi="Arial" w:cs="Arial"/>
      <w:szCs w:val="22"/>
      <w:lang w:eastAsia="en-US"/>
    </w:rPr>
  </w:style>
  <w:style w:type="paragraph" w:customStyle="1" w:styleId="Numpara2">
    <w:name w:val="Numpara2"/>
    <w:basedOn w:val="Normal"/>
    <w:qFormat/>
    <w:rsid w:val="00525F2F"/>
    <w:pPr>
      <w:numPr>
        <w:ilvl w:val="1"/>
        <w:numId w:val="9"/>
      </w:numPr>
      <w:spacing w:before="240"/>
      <w:jc w:val="left"/>
    </w:pPr>
    <w:rPr>
      <w:rFonts w:ascii="Arial" w:hAnsi="Arial" w:cs="Arial"/>
      <w:sz w:val="20"/>
      <w:szCs w:val="22"/>
      <w:lang w:eastAsia="en-US"/>
    </w:rPr>
  </w:style>
  <w:style w:type="paragraph" w:customStyle="1" w:styleId="Numpara4">
    <w:name w:val="Numpara4"/>
    <w:basedOn w:val="Normal"/>
    <w:qFormat/>
    <w:rsid w:val="00525F2F"/>
    <w:pPr>
      <w:numPr>
        <w:ilvl w:val="3"/>
        <w:numId w:val="9"/>
      </w:numPr>
      <w:spacing w:before="240"/>
      <w:jc w:val="left"/>
    </w:pPr>
    <w:rPr>
      <w:rFonts w:ascii="Arial" w:hAnsi="Arial" w:cs="Arial"/>
      <w:sz w:val="20"/>
      <w:szCs w:val="22"/>
      <w:lang w:eastAsia="en-US"/>
    </w:rPr>
  </w:style>
  <w:style w:type="paragraph" w:customStyle="1" w:styleId="Pa7">
    <w:name w:val="Pa7"/>
    <w:basedOn w:val="Default"/>
    <w:next w:val="Default"/>
    <w:uiPriority w:val="99"/>
    <w:rsid w:val="00525F2F"/>
    <w:pPr>
      <w:spacing w:line="201" w:lineRule="atLeast"/>
    </w:pPr>
    <w:rPr>
      <w:rFonts w:ascii="Gill Sans MT" w:hAnsi="Gill Sans MT"/>
      <w:color w:val="auto"/>
    </w:rPr>
  </w:style>
  <w:style w:type="character" w:customStyle="1" w:styleId="A6">
    <w:name w:val="A6"/>
    <w:uiPriority w:val="99"/>
    <w:rsid w:val="00525F2F"/>
    <w:rPr>
      <w:rFonts w:cs="Gill Sans MT"/>
      <w:color w:val="000000"/>
      <w:sz w:val="20"/>
      <w:szCs w:val="20"/>
    </w:rPr>
  </w:style>
  <w:style w:type="table" w:customStyle="1" w:styleId="MediumGrid31">
    <w:name w:val="Medium Grid 31"/>
    <w:basedOn w:val="TableNormal"/>
    <w:uiPriority w:val="69"/>
    <w:rsid w:val="005779A4"/>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odyText">
    <w:name w:val="Body Text"/>
    <w:aliases w:val="Body text box,VPP text box"/>
    <w:basedOn w:val="Normal"/>
    <w:link w:val="BodyTextChar"/>
    <w:qFormat/>
    <w:rsid w:val="009862C7"/>
    <w:pPr>
      <w:spacing w:before="0"/>
      <w:jc w:val="left"/>
    </w:pPr>
    <w:rPr>
      <w:rFonts w:ascii="Arial" w:hAnsi="Arial" w:cs="Times New Roman"/>
      <w:b/>
      <w:sz w:val="12"/>
      <w:szCs w:val="20"/>
    </w:rPr>
  </w:style>
  <w:style w:type="character" w:customStyle="1" w:styleId="BodyTextChar">
    <w:name w:val="Body Text Char"/>
    <w:aliases w:val="Body text box Char,VPP text box Char"/>
    <w:basedOn w:val="DefaultParagraphFont"/>
    <w:link w:val="BodyText"/>
    <w:rsid w:val="009862C7"/>
    <w:rPr>
      <w:rFonts w:ascii="Arial" w:hAnsi="Arial"/>
      <w:b/>
      <w:sz w:val="12"/>
    </w:rPr>
  </w:style>
  <w:style w:type="character" w:customStyle="1" w:styleId="Mapcode">
    <w:name w:val="Map code"/>
    <w:qFormat/>
    <w:rsid w:val="009862C7"/>
    <w:rPr>
      <w:rFonts w:ascii="Arial" w:hAnsi="Arial"/>
      <w:b/>
      <w:sz w:val="20"/>
    </w:rPr>
  </w:style>
  <w:style w:type="character" w:customStyle="1" w:styleId="RPTrackDraftingDeleted">
    <w:name w:val="RP Track Drafting Deleted"/>
    <w:uiPriority w:val="1"/>
    <w:rsid w:val="00FC4BF8"/>
    <w:rPr>
      <w:strike/>
      <w:dstrike w:val="0"/>
      <w:color w:val="B7C8FF"/>
    </w:rPr>
  </w:style>
  <w:style w:type="character" w:customStyle="1" w:styleId="RPTrackDraftingAdded">
    <w:name w:val="RP Track Drafting Added"/>
    <w:uiPriority w:val="1"/>
    <w:rsid w:val="00FC4BF8"/>
    <w:rPr>
      <w:color w:val="3366FF"/>
      <w:u w:val="single"/>
    </w:rPr>
  </w:style>
  <w:style w:type="paragraph" w:customStyle="1" w:styleId="VPPTableheadingrow">
    <w:name w:val="VPP Table heading row"/>
    <w:basedOn w:val="Normal"/>
    <w:rsid w:val="00FC4BF8"/>
    <w:pPr>
      <w:tabs>
        <w:tab w:val="left" w:pos="8472"/>
      </w:tabs>
      <w:spacing w:before="60" w:after="80" w:line="240" w:lineRule="exact"/>
    </w:pPr>
    <w:rPr>
      <w:rFonts w:ascii="Arial" w:hAnsi="Arial" w:cs="Times New Roman"/>
      <w:b/>
      <w:sz w:val="18"/>
      <w:szCs w:val="20"/>
    </w:rPr>
  </w:style>
  <w:style w:type="paragraph" w:customStyle="1" w:styleId="VPPTabletext">
    <w:name w:val="VPP Table text"/>
    <w:qFormat/>
    <w:rsid w:val="00FC4BF8"/>
    <w:pPr>
      <w:spacing w:before="60" w:after="60"/>
    </w:pPr>
    <w:rPr>
      <w:rFonts w:ascii="Arial" w:hAnsi="Arial"/>
      <w:sz w:val="18"/>
    </w:rPr>
  </w:style>
  <w:style w:type="paragraph" w:customStyle="1" w:styleId="VPPTabletextbold">
    <w:name w:val="VPP Table text bold"/>
    <w:basedOn w:val="VPPTabletext"/>
    <w:rsid w:val="00FC4BF8"/>
    <w:pPr>
      <w:ind w:left="85" w:hanging="85"/>
    </w:pPr>
    <w:rPr>
      <w:b/>
    </w:rPr>
  </w:style>
  <w:style w:type="paragraph" w:customStyle="1" w:styleId="PPVSource">
    <w:name w:val="PPV Source"/>
    <w:basedOn w:val="PPVBody"/>
    <w:rsid w:val="00BB2317"/>
    <w:pPr>
      <w:spacing w:before="0"/>
    </w:pPr>
    <w:rPr>
      <w:sz w:val="20"/>
      <w:szCs w:val="20"/>
    </w:rPr>
  </w:style>
  <w:style w:type="paragraph" w:customStyle="1" w:styleId="VPPBody">
    <w:name w:val="VPP Body"/>
    <w:basedOn w:val="Normal"/>
    <w:link w:val="VPPBodyChar"/>
    <w:qFormat/>
    <w:rsid w:val="00ED38B1"/>
    <w:pPr>
      <w:spacing w:before="60" w:after="80"/>
      <w:ind w:left="1134"/>
      <w:jc w:val="left"/>
    </w:pPr>
    <w:rPr>
      <w:rFonts w:ascii="Times New Roman" w:hAnsi="Times New Roman" w:cs="Times New Roman"/>
      <w:sz w:val="20"/>
      <w:szCs w:val="20"/>
    </w:rPr>
  </w:style>
  <w:style w:type="character" w:customStyle="1" w:styleId="VPPBodyChar">
    <w:name w:val="VPP Body Char"/>
    <w:link w:val="VPPBody"/>
    <w:rsid w:val="00ED38B1"/>
  </w:style>
  <w:style w:type="paragraph" w:customStyle="1" w:styleId="VPPBodyBullet1">
    <w:name w:val="VPP Body Bullet 1"/>
    <w:basedOn w:val="Normal"/>
    <w:link w:val="VPPBodyBullet1Char"/>
    <w:rsid w:val="00ED38B1"/>
    <w:pPr>
      <w:numPr>
        <w:numId w:val="22"/>
      </w:numPr>
      <w:spacing w:before="60" w:after="80" w:line="240" w:lineRule="exact"/>
      <w:ind w:left="1985" w:hanging="851"/>
      <w:jc w:val="left"/>
    </w:pPr>
    <w:rPr>
      <w:rFonts w:ascii="Times New Roman" w:hAnsi="Times New Roman" w:cs="Times New Roman"/>
      <w:sz w:val="20"/>
      <w:szCs w:val="20"/>
    </w:rPr>
  </w:style>
  <w:style w:type="character" w:customStyle="1" w:styleId="VPPBodyBullet1Char">
    <w:name w:val="VPP Body Bullet 1 Char"/>
    <w:link w:val="VPPBodyBullet1"/>
    <w:rsid w:val="00ED3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2.xml"/><Relationship Id="rId21" Type="http://schemas.openxmlformats.org/officeDocument/2006/relationships/footer" Target="footer1.xml"/><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emf"/><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0F"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Memo" ma:contentTypeID="0x0101002517F445A0F35E449C98AAD631F2B0380F007FC7E60D3009EE4295B3FF3D18AF6FCF" ma:contentTypeVersion="6" ma:contentTypeDescription="A note describing something to be remembered or acted upon in the future – AGLS " ma:contentTypeScope="" ma:versionID="627b4f3bf81514f87c67aad84ae3e620">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2a2dc006e093a37a6ad067779bb31ff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7"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DOCID356-1577715548-2571</_dlc_DocId>
    <_dlc_DocIdUrl xmlns="a5f32de4-e402-4188-b034-e71ca7d22e54">
      <Url>https://delwpvicgovau.sharepoint.com/sites/ecm_356/_layouts/15/DocIdRedir.aspx?ID=DOCID356-1577715548-2571</Url>
      <Description>DOCID356-1577715548-2571</Description>
    </_dlc_DocIdUrl>
    <TRIM_x0020_Record_x0020_Number xmlns="a5f32de4-e402-4188-b034-e71ca7d22e54" xsi:nil="true"/>
    <ld508a88e6264ce89693af80a72862cb xmlns="9fd47c19-1c4a-4d7d-b342-c10cef269344">
      <Terms xmlns="http://schemas.microsoft.com/office/infopath/2007/PartnerControls"/>
    </ld508a88e6264ce89693af80a72862cb>
    <o2e611f6ba3e4c8f9a895dfb7980639e xmlns="9fd47c19-1c4a-4d7d-b342-c10cef269344">
      <Terms xmlns="http://schemas.microsoft.com/office/infopath/2007/PartnerControls"/>
    </o2e611f6ba3e4c8f9a895dfb7980639e>
    <Reference_x0020_Number xmlns="a5f32de4-e402-4188-b034-e71ca7d22e54" xsi:nil="true"/>
    <Location_x0020_Value xmlns="a5f32de4-e402-4188-b034-e71ca7d22e54"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8AF68-FEAE-4539-BDF9-EE55329FEC0C}">
  <ds:schemaRefs>
    <ds:schemaRef ds:uri="Microsoft.SharePoint.Taxonomy.ContentTypeSync"/>
  </ds:schemaRefs>
</ds:datastoreItem>
</file>

<file path=customXml/itemProps2.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3.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4.xml><?xml version="1.0" encoding="utf-8"?>
<ds:datastoreItem xmlns:ds="http://schemas.openxmlformats.org/officeDocument/2006/customXml" ds:itemID="{C0DB53C7-1592-4DC7-9484-3798F1439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6.xml><?xml version="1.0" encoding="utf-8"?>
<ds:datastoreItem xmlns:ds="http://schemas.openxmlformats.org/officeDocument/2006/customXml" ds:itemID="{8C7BCFFB-6787-4EF3-8A12-4E59DFB140F1}">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customXml/itemProps7.xml><?xml version="1.0" encoding="utf-8"?>
<ds:datastoreItem xmlns:ds="http://schemas.openxmlformats.org/officeDocument/2006/customXml" ds:itemID="{3CC344B1-3F12-491E-AC4C-CF21B335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13396</Words>
  <Characters>76360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LinksUpToDate>false</LinksUpToDate>
  <CharactersWithSpaces>89577</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dc:description/>
  <cp:lastModifiedBy/>
  <cp:revision>1</cp:revision>
  <dcterms:created xsi:type="dcterms:W3CDTF">2018-07-20T03:19:00Z</dcterms:created>
  <dcterms:modified xsi:type="dcterms:W3CDTF">2018-07-20T03:19:00Z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0x0101002517F445A0F35E449C98AAD631F2B0380F007FC7E60D3009EE4295B3FF3D18AF6FCF</vt:lpwstr>
  </property>
  <property fmtid="{D5CDD505-2E9C-101B-9397-08002B2CF9AE}" pid="3" name="_dlc_DocIdItemGuid">
    <vt:lpwstr>5728f497-1559-4eed-98e5-76ad59a4f019</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Order">
    <vt:r8>257100</vt:r8>
  </property>
</Properties>
</file>