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7DF2" w:rsidRPr="00BE0A0B" w:rsidRDefault="0072439D" w:rsidP="000C5DD2">
      <w:pPr>
        <w:pStyle w:val="PPVBody"/>
      </w:pPr>
      <w:bookmarkStart w:id="0" w:name="_GoBack"/>
      <w:bookmarkEnd w:id="0"/>
      <w:r>
        <w:rPr>
          <w:b/>
          <w:i/>
          <w:noProof/>
          <w:color w:val="FFFFFF" w:themeColor="background1"/>
        </w:rPr>
        <w:drawing>
          <wp:anchor distT="0" distB="0" distL="114300" distR="114300" simplePos="0" relativeHeight="251660288" behindDoc="1" locked="0" layoutInCell="1" allowOverlap="1" wp14:anchorId="7279706D" wp14:editId="7279706E">
            <wp:simplePos x="0" y="0"/>
            <wp:positionH relativeFrom="column">
              <wp:posOffset>-320040</wp:posOffset>
            </wp:positionH>
            <wp:positionV relativeFrom="paragraph">
              <wp:posOffset>-662940</wp:posOffset>
            </wp:positionV>
            <wp:extent cx="6740224" cy="97536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0224" cy="97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DF2" w:rsidRPr="00BE0A0B">
        <w:rPr>
          <w:b/>
          <w:i/>
          <w:color w:val="FFFFFF" w:themeColor="background1"/>
        </w:rPr>
        <w:t xml:space="preserve"> </w:t>
      </w:r>
    </w:p>
    <w:p w:rsidR="005A7DF2" w:rsidRPr="00EB6581" w:rsidRDefault="00630AE3" w:rsidP="00BE0A0B">
      <w:pPr>
        <w:pStyle w:val="AAAPanelName"/>
      </w:pPr>
      <w:r>
        <w:t>Fishermans Bend Planning Review Panel</w:t>
      </w:r>
    </w:p>
    <w:p w:rsidR="005A7DF2" w:rsidRPr="00EB6581" w:rsidRDefault="00443BFD" w:rsidP="008B29A9">
      <w:pPr>
        <w:pStyle w:val="AACommonName"/>
        <w:jc w:val="left"/>
        <w:rPr>
          <w:sz w:val="40"/>
          <w:szCs w:val="40"/>
        </w:rPr>
      </w:pPr>
      <w:r>
        <w:rPr>
          <w:sz w:val="40"/>
          <w:szCs w:val="40"/>
        </w:rPr>
        <w:t>Montague</w:t>
      </w:r>
      <w:r w:rsidR="00630AE3">
        <w:rPr>
          <w:sz w:val="40"/>
          <w:szCs w:val="40"/>
        </w:rPr>
        <w:t xml:space="preserve"> Precinct </w:t>
      </w:r>
      <w:r w:rsidR="009418A2">
        <w:rPr>
          <w:sz w:val="40"/>
          <w:szCs w:val="40"/>
        </w:rPr>
        <w:t>- Report No. 3</w:t>
      </w:r>
    </w:p>
    <w:p w:rsidR="00681DCE" w:rsidRDefault="00681DCE"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607994" w:rsidRPr="006D5891" w:rsidRDefault="007B0067" w:rsidP="00BE0A0B">
      <w:pPr>
        <w:pStyle w:val="AADate"/>
        <w:rPr>
          <w:color w:val="auto"/>
          <w:sz w:val="28"/>
          <w:szCs w:val="28"/>
        </w:rPr>
      </w:pPr>
      <w:r>
        <w:rPr>
          <w:color w:val="auto"/>
          <w:sz w:val="28"/>
          <w:szCs w:val="28"/>
        </w:rPr>
        <w:t>19</w:t>
      </w:r>
      <w:r w:rsidR="00903B9C">
        <w:rPr>
          <w:color w:val="auto"/>
          <w:sz w:val="28"/>
          <w:szCs w:val="28"/>
        </w:rPr>
        <w:t xml:space="preserve"> </w:t>
      </w:r>
      <w:r w:rsidR="00630AE3">
        <w:rPr>
          <w:color w:val="auto"/>
          <w:sz w:val="28"/>
          <w:szCs w:val="28"/>
        </w:rPr>
        <w:t>July</w:t>
      </w:r>
      <w:r w:rsidR="00903B9C">
        <w:rPr>
          <w:color w:val="auto"/>
          <w:sz w:val="28"/>
          <w:szCs w:val="28"/>
        </w:rPr>
        <w:t xml:space="preserve"> 20</w:t>
      </w:r>
      <w:r w:rsidR="00630AE3">
        <w:rPr>
          <w:color w:val="auto"/>
          <w:sz w:val="28"/>
          <w:szCs w:val="28"/>
        </w:rPr>
        <w:t>18</w:t>
      </w:r>
    </w:p>
    <w:p w:rsidR="005A7DF2" w:rsidRDefault="005A7DF2" w:rsidP="000C5DD2">
      <w:pPr>
        <w:pStyle w:val="PPVBody"/>
      </w:pPr>
    </w:p>
    <w:p w:rsidR="00D9307F" w:rsidRDefault="005A7DF2" w:rsidP="000C5DD2">
      <w:pPr>
        <w:pStyle w:val="PPVBody"/>
        <w:rPr>
          <w:b/>
          <w:highlight w:val="cyan"/>
        </w:rPr>
      </w:pPr>
      <w:r>
        <w:rPr>
          <w:b/>
          <w:highlight w:val="cyan"/>
        </w:rPr>
        <w:br w:type="page"/>
      </w:r>
    </w:p>
    <w:p w:rsidR="00D067BC" w:rsidRDefault="00D067BC" w:rsidP="000C5DD2">
      <w:pPr>
        <w:pStyle w:val="PPVBody"/>
      </w:pPr>
    </w:p>
    <w:p w:rsidR="00D067BC" w:rsidRDefault="00D067BC" w:rsidP="000C5DD2">
      <w:pPr>
        <w:pStyle w:val="PPVBody"/>
      </w:pPr>
    </w:p>
    <w:p w:rsidR="00D067BC" w:rsidRDefault="00D067BC" w:rsidP="000C5DD2">
      <w:pPr>
        <w:pStyle w:val="PPVBody"/>
      </w:pPr>
    </w:p>
    <w:p w:rsidR="00D067BC" w:rsidRDefault="00D067BC"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E765FC" w:rsidRPr="002A27E4" w:rsidRDefault="00E765FC" w:rsidP="000C5DD2">
      <w:pPr>
        <w:pStyle w:val="PPVBody"/>
        <w:rPr>
          <w:i/>
        </w:rPr>
      </w:pPr>
      <w:r w:rsidRPr="002A27E4">
        <w:rPr>
          <w:i/>
        </w:rPr>
        <w:t>Planning and Environment Act 1987</w:t>
      </w:r>
    </w:p>
    <w:p w:rsidR="00E765FC" w:rsidRPr="002A27E4" w:rsidRDefault="00C70AC5" w:rsidP="000C5DD2">
      <w:pPr>
        <w:pStyle w:val="PPVBody"/>
      </w:pPr>
      <w:r>
        <w:t>Report pursuant to section 151</w:t>
      </w:r>
      <w:r w:rsidR="00E765FC" w:rsidRPr="002A27E4">
        <w:t xml:space="preserve"> of the Act</w:t>
      </w:r>
    </w:p>
    <w:p w:rsidR="00E765FC" w:rsidRPr="002A27E4" w:rsidRDefault="00E62DE9" w:rsidP="000C5DD2">
      <w:pPr>
        <w:pStyle w:val="PPVBody"/>
      </w:pPr>
      <w:fldSimple w:instr=" STYLEREF  &quot;AAA Panel Name&quot;  \* MERGEFORMAT ">
        <w:r w:rsidR="0028199F">
          <w:rPr>
            <w:noProof/>
          </w:rPr>
          <w:t>Fishermans Bend Planning Review Panel</w:t>
        </w:r>
      </w:fldSimple>
    </w:p>
    <w:p w:rsidR="00505E80" w:rsidRPr="002A27E4" w:rsidRDefault="00E62DE9" w:rsidP="000C5DD2">
      <w:pPr>
        <w:pStyle w:val="PPVBody"/>
      </w:pPr>
      <w:fldSimple w:instr=" STYLEREF  &quot;AA Common Name&quot;  \* MERGEFORMAT ">
        <w:r w:rsidR="0028199F">
          <w:rPr>
            <w:noProof/>
          </w:rPr>
          <w:t>Montague Precinct - Report No. 3</w:t>
        </w:r>
      </w:fldSimple>
    </w:p>
    <w:p w:rsidR="00314E42" w:rsidRDefault="00E62DE9" w:rsidP="000C5DD2">
      <w:pPr>
        <w:pStyle w:val="PPVBody"/>
      </w:pPr>
      <w:fldSimple w:instr=" STYLEREF  &quot;AA Date&quot;  \* MERGEFORMAT ">
        <w:r w:rsidR="0028199F">
          <w:rPr>
            <w:noProof/>
          </w:rPr>
          <w:t>19 July 2018</w:t>
        </w:r>
      </w:fldSimple>
    </w:p>
    <w:p w:rsidR="00C903BC" w:rsidRPr="00A90F8A" w:rsidRDefault="00C903BC" w:rsidP="00C903BC">
      <w:pPr>
        <w:pStyle w:val="PPVBody"/>
        <w:rPr>
          <w:rFonts w:asciiTheme="minorHAnsi" w:hAnsiTheme="minorHAnsi"/>
        </w:rPr>
      </w:pPr>
    </w:p>
    <w:p w:rsidR="00C903BC" w:rsidRPr="00A90F8A" w:rsidRDefault="00C903BC" w:rsidP="00C903BC">
      <w:pPr>
        <w:pStyle w:val="PPVBody"/>
        <w:tabs>
          <w:tab w:val="left" w:pos="4536"/>
        </w:tabs>
        <w:rPr>
          <w:rFonts w:asciiTheme="minorHAnsi" w:hAnsiTheme="minorHAnsi"/>
        </w:rPr>
      </w:pPr>
      <w:r>
        <w:rPr>
          <w:rFonts w:asciiTheme="minorHAnsi" w:hAnsiTheme="minorHAnsi"/>
          <w:noProof/>
        </w:rPr>
        <w:drawing>
          <wp:inline distT="0" distB="0" distL="0" distR="0" wp14:anchorId="6C4CA3E7" wp14:editId="5338D5A5">
            <wp:extent cx="1287887" cy="8572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thy Mitchell's signature colou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0353" cy="865548"/>
                    </a:xfrm>
                    <a:prstGeom prst="rect">
                      <a:avLst/>
                    </a:prstGeom>
                  </pic:spPr>
                </pic:pic>
              </a:graphicData>
            </a:graphic>
          </wp:inline>
        </w:drawing>
      </w:r>
      <w:r>
        <w:rPr>
          <w:rFonts w:asciiTheme="minorHAnsi" w:hAnsiTheme="minorHAnsi"/>
        </w:rPr>
        <w:tab/>
      </w:r>
      <w:r>
        <w:rPr>
          <w:rFonts w:asciiTheme="minorHAnsi" w:hAnsiTheme="minorHAnsi"/>
          <w:noProof/>
        </w:rPr>
        <w:drawing>
          <wp:inline distT="0" distB="0" distL="0" distR="0" wp14:anchorId="4668F72E" wp14:editId="43DF6A31">
            <wp:extent cx="1778508" cy="5532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ster Townsend's signature.jpg"/>
                    <pic:cNvPicPr/>
                  </pic:nvPicPr>
                  <pic:blipFill>
                    <a:blip r:embed="rId17">
                      <a:extLst>
                        <a:ext uri="{BEBA8EAE-BF5A-486C-A8C5-ECC9F3942E4B}">
                          <a14:imgProps xmlns:a14="http://schemas.microsoft.com/office/drawing/2010/main">
                            <a14:imgLayer r:embed="rId18">
                              <a14:imgEffect>
                                <a14:brightnessContrast contrast="38000"/>
                              </a14:imgEffect>
                            </a14:imgLayer>
                          </a14:imgProps>
                        </a:ext>
                        <a:ext uri="{28A0092B-C50C-407E-A947-70E740481C1C}">
                          <a14:useLocalDpi xmlns:a14="http://schemas.microsoft.com/office/drawing/2010/main" val="0"/>
                        </a:ext>
                      </a:extLst>
                    </a:blip>
                    <a:stretch>
                      <a:fillRect/>
                    </a:stretch>
                  </pic:blipFill>
                  <pic:spPr>
                    <a:xfrm>
                      <a:off x="0" y="0"/>
                      <a:ext cx="1778508" cy="553212"/>
                    </a:xfrm>
                    <a:prstGeom prst="rect">
                      <a:avLst/>
                    </a:prstGeom>
                  </pic:spPr>
                </pic:pic>
              </a:graphicData>
            </a:graphic>
          </wp:inline>
        </w:drawing>
      </w:r>
    </w:p>
    <w:p w:rsidR="00C903BC" w:rsidRPr="00A90F8A" w:rsidRDefault="00C903BC" w:rsidP="00C903BC">
      <w:pPr>
        <w:pStyle w:val="PPVBody"/>
        <w:tabs>
          <w:tab w:val="left" w:pos="4536"/>
        </w:tabs>
        <w:rPr>
          <w:rFonts w:asciiTheme="minorHAnsi" w:hAnsiTheme="minorHAnsi"/>
        </w:rPr>
      </w:pPr>
      <w:r w:rsidRPr="00A90F8A">
        <w:rPr>
          <w:rFonts w:asciiTheme="minorHAnsi" w:hAnsiTheme="minorHAnsi"/>
        </w:rPr>
        <w:t>Kathy Mitchell, Chair</w:t>
      </w:r>
      <w:r w:rsidRPr="00A90F8A">
        <w:rPr>
          <w:rFonts w:asciiTheme="minorHAnsi" w:hAnsiTheme="minorHAnsi"/>
        </w:rPr>
        <w:tab/>
        <w:t>Lester Townsend, Deputy Chair</w:t>
      </w:r>
    </w:p>
    <w:p w:rsidR="00C903BC" w:rsidRPr="00431492" w:rsidRDefault="00C903BC" w:rsidP="00C903BC">
      <w:pPr>
        <w:pStyle w:val="PPVBody"/>
        <w:tabs>
          <w:tab w:val="left" w:pos="4536"/>
        </w:tabs>
        <w:rPr>
          <w:rFonts w:asciiTheme="minorHAnsi" w:hAnsiTheme="minorHAnsi"/>
        </w:rPr>
      </w:pPr>
    </w:p>
    <w:p w:rsidR="00C903BC" w:rsidRPr="00A90F8A" w:rsidRDefault="00C903BC" w:rsidP="00C903BC">
      <w:pPr>
        <w:pStyle w:val="PPVBody"/>
        <w:tabs>
          <w:tab w:val="left" w:pos="4536"/>
        </w:tabs>
        <w:rPr>
          <w:rFonts w:asciiTheme="minorHAnsi" w:hAnsiTheme="minorHAnsi"/>
        </w:rPr>
      </w:pPr>
      <w:r>
        <w:rPr>
          <w:rFonts w:asciiTheme="minorHAnsi" w:hAnsiTheme="minorHAnsi"/>
          <w:noProof/>
        </w:rPr>
        <w:drawing>
          <wp:inline distT="0" distB="0" distL="0" distR="0" wp14:anchorId="6CF9A267" wp14:editId="3FD849FF">
            <wp:extent cx="1467293" cy="58552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rah Carlisle's Signatu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7053" cy="601389"/>
                    </a:xfrm>
                    <a:prstGeom prst="rect">
                      <a:avLst/>
                    </a:prstGeom>
                  </pic:spPr>
                </pic:pic>
              </a:graphicData>
            </a:graphic>
          </wp:inline>
        </w:drawing>
      </w:r>
      <w:r>
        <w:rPr>
          <w:rFonts w:asciiTheme="minorHAnsi" w:hAnsiTheme="minorHAnsi"/>
        </w:rPr>
        <w:tab/>
      </w:r>
      <w:r>
        <w:rPr>
          <w:rFonts w:asciiTheme="minorHAnsi" w:hAnsiTheme="minorHAnsi"/>
          <w:noProof/>
        </w:rPr>
        <w:drawing>
          <wp:inline distT="0" distB="0" distL="0" distR="0" wp14:anchorId="679B89C9" wp14:editId="5501CF2B">
            <wp:extent cx="1772093" cy="5528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dger Eade's signature.jpg"/>
                    <pic:cNvPicPr/>
                  </pic:nvPicPr>
                  <pic:blipFill>
                    <a:blip r:embed="rId20">
                      <a:extLst>
                        <a:ext uri="{28A0092B-C50C-407E-A947-70E740481C1C}">
                          <a14:useLocalDpi xmlns:a14="http://schemas.microsoft.com/office/drawing/2010/main" val="0"/>
                        </a:ext>
                      </a:extLst>
                    </a:blip>
                    <a:stretch>
                      <a:fillRect/>
                    </a:stretch>
                  </pic:blipFill>
                  <pic:spPr>
                    <a:xfrm>
                      <a:off x="0" y="0"/>
                      <a:ext cx="1779856" cy="555315"/>
                    </a:xfrm>
                    <a:prstGeom prst="rect">
                      <a:avLst/>
                    </a:prstGeom>
                  </pic:spPr>
                </pic:pic>
              </a:graphicData>
            </a:graphic>
          </wp:inline>
        </w:drawing>
      </w:r>
    </w:p>
    <w:p w:rsidR="00C903BC" w:rsidRPr="00A90F8A" w:rsidRDefault="00C903BC" w:rsidP="00C903BC">
      <w:pPr>
        <w:pStyle w:val="PPVBody"/>
        <w:tabs>
          <w:tab w:val="left" w:pos="4536"/>
        </w:tabs>
        <w:rPr>
          <w:rFonts w:asciiTheme="minorHAnsi" w:hAnsiTheme="minorHAnsi"/>
        </w:rPr>
      </w:pPr>
      <w:r w:rsidRPr="00A90F8A">
        <w:rPr>
          <w:rFonts w:asciiTheme="minorHAnsi" w:hAnsiTheme="minorHAnsi"/>
        </w:rPr>
        <w:t>Sarah Carlisle, Member</w:t>
      </w:r>
      <w:r w:rsidRPr="00A90F8A">
        <w:rPr>
          <w:rFonts w:asciiTheme="minorHAnsi" w:hAnsiTheme="minorHAnsi"/>
        </w:rPr>
        <w:tab/>
      </w:r>
      <w:r w:rsidRPr="00A90F8A">
        <w:rPr>
          <w:rFonts w:asciiTheme="minorHAnsi" w:hAnsiTheme="minorHAnsi"/>
        </w:rPr>
        <w:tab/>
        <w:t>Rodger Eade, Member</w:t>
      </w:r>
    </w:p>
    <w:p w:rsidR="00C903BC" w:rsidRPr="00A90F8A" w:rsidRDefault="00C903BC" w:rsidP="00C903BC">
      <w:pPr>
        <w:pStyle w:val="PPVBody"/>
        <w:rPr>
          <w:rFonts w:asciiTheme="minorHAnsi" w:hAnsiTheme="minorHAnsi"/>
        </w:rPr>
      </w:pPr>
    </w:p>
    <w:p w:rsidR="00C903BC" w:rsidRPr="00A90F8A" w:rsidRDefault="00C903BC" w:rsidP="00C903BC">
      <w:pPr>
        <w:pStyle w:val="PPVBody"/>
        <w:rPr>
          <w:rFonts w:asciiTheme="minorHAnsi" w:hAnsiTheme="minorHAnsi"/>
        </w:rPr>
      </w:pPr>
      <w:r>
        <w:rPr>
          <w:rFonts w:asciiTheme="minorHAnsi" w:hAnsiTheme="minorHAnsi"/>
          <w:noProof/>
        </w:rPr>
        <w:drawing>
          <wp:inline distT="0" distB="0" distL="0" distR="0" wp14:anchorId="417574B8" wp14:editId="520B975A">
            <wp:extent cx="1644502" cy="52536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ter Edwards signatu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6786" cy="542063"/>
                    </a:xfrm>
                    <a:prstGeom prst="rect">
                      <a:avLst/>
                    </a:prstGeom>
                  </pic:spPr>
                </pic:pic>
              </a:graphicData>
            </a:graphic>
          </wp:inline>
        </w:drawing>
      </w:r>
    </w:p>
    <w:p w:rsidR="00C70AC5" w:rsidRPr="00751390" w:rsidRDefault="00C903BC" w:rsidP="00C903BC">
      <w:pPr>
        <w:pStyle w:val="PPVBody"/>
        <w:tabs>
          <w:tab w:val="left" w:pos="4536"/>
        </w:tabs>
      </w:pPr>
      <w:r w:rsidRPr="00A90F8A">
        <w:rPr>
          <w:rFonts w:asciiTheme="minorHAnsi" w:hAnsiTheme="minorHAnsi"/>
        </w:rPr>
        <w:t>Peter Edwards</w:t>
      </w:r>
      <w:r>
        <w:rPr>
          <w:rFonts w:asciiTheme="minorHAnsi" w:hAnsiTheme="minorHAnsi"/>
        </w:rPr>
        <w:t>, Member</w:t>
      </w:r>
      <w:r w:rsidR="00C70AC5">
        <w:tab/>
      </w:r>
    </w:p>
    <w:p w:rsidR="00841E1C" w:rsidRPr="00C449DA" w:rsidRDefault="00841E1C" w:rsidP="00C449DA">
      <w:pPr>
        <w:pStyle w:val="NormalBlue"/>
        <w:tabs>
          <w:tab w:val="left" w:pos="4536"/>
        </w:tabs>
        <w:rPr>
          <w:highlight w:val="yellow"/>
        </w:rPr>
        <w:sectPr w:rsidR="00841E1C" w:rsidRPr="00C449DA" w:rsidSect="00454572">
          <w:footerReference w:type="default" r:id="rId22"/>
          <w:pgSz w:w="11906" w:h="16838"/>
          <w:pgMar w:top="1701" w:right="1134" w:bottom="1134" w:left="1134" w:header="720" w:footer="720" w:gutter="0"/>
          <w:cols w:space="720"/>
          <w:titlePg/>
          <w:docGrid w:linePitch="326"/>
        </w:sectPr>
      </w:pPr>
    </w:p>
    <w:p w:rsidR="00841E1C" w:rsidRPr="00681DCE" w:rsidRDefault="00841E1C" w:rsidP="009A41AF">
      <w:pPr>
        <w:pStyle w:val="PPVAppendixHeading2"/>
        <w:ind w:left="0" w:firstLine="0"/>
      </w:pPr>
      <w:bookmarkStart w:id="1" w:name="_Toc476631127"/>
      <w:bookmarkStart w:id="2" w:name="_Toc485028095"/>
      <w:bookmarkStart w:id="3" w:name="_Toc488830309"/>
      <w:bookmarkStart w:id="4" w:name="_Toc488830366"/>
      <w:bookmarkStart w:id="5" w:name="_Toc490647227"/>
      <w:bookmarkStart w:id="6" w:name="_Toc494792102"/>
      <w:bookmarkStart w:id="7" w:name="_Toc499098992"/>
      <w:r w:rsidRPr="00681DCE">
        <w:lastRenderedPageBreak/>
        <w:t>Contents</w:t>
      </w:r>
    </w:p>
    <w:bookmarkEnd w:id="1"/>
    <w:bookmarkEnd w:id="2"/>
    <w:bookmarkEnd w:id="3"/>
    <w:bookmarkEnd w:id="4"/>
    <w:bookmarkEnd w:id="5"/>
    <w:bookmarkEnd w:id="6"/>
    <w:bookmarkEnd w:id="7"/>
    <w:p w:rsidR="00841E1C" w:rsidRPr="005D5117" w:rsidRDefault="00841E1C" w:rsidP="00154B75">
      <w:pPr>
        <w:pStyle w:val="ZZPPVContentsPageNo"/>
        <w:spacing w:before="0"/>
        <w:rPr>
          <w:color w:val="auto"/>
        </w:rPr>
      </w:pPr>
      <w:r w:rsidRPr="00C449DA">
        <w:tab/>
      </w:r>
      <w:r w:rsidR="005D1F6F" w:rsidRPr="005D5117">
        <w:rPr>
          <w:color w:val="auto"/>
        </w:rPr>
        <w:t>Page</w:t>
      </w:r>
    </w:p>
    <w:p w:rsidR="00475913" w:rsidRDefault="000E7757">
      <w:pPr>
        <w:pStyle w:val="TOC1"/>
        <w:rPr>
          <w:rFonts w:asciiTheme="minorHAnsi" w:eastAsiaTheme="minorEastAsia" w:hAnsiTheme="minorHAnsi" w:cstheme="minorBidi"/>
          <w:b w:val="0"/>
          <w:sz w:val="22"/>
          <w:szCs w:val="22"/>
        </w:rPr>
      </w:pPr>
      <w:r>
        <w:rPr>
          <w:b w:val="0"/>
        </w:rPr>
        <w:fldChar w:fldCharType="begin"/>
      </w:r>
      <w:r w:rsidR="00F236E4">
        <w:rPr>
          <w:b w:val="0"/>
        </w:rPr>
        <w:instrText xml:space="preserve"> TOC \t "Heading 1,1,Heading 2,2,PPV Exec Summary,1" </w:instrText>
      </w:r>
      <w:r>
        <w:rPr>
          <w:b w:val="0"/>
        </w:rPr>
        <w:fldChar w:fldCharType="separate"/>
      </w:r>
      <w:r w:rsidR="00475913" w:rsidRPr="00782B7C">
        <w:rPr>
          <w:rFonts w:cs="Times New Roman"/>
          <w:color w:val="000000"/>
        </w:rPr>
        <w:t>1</w:t>
      </w:r>
      <w:r w:rsidR="00475913">
        <w:rPr>
          <w:rFonts w:asciiTheme="minorHAnsi" w:eastAsiaTheme="minorEastAsia" w:hAnsiTheme="minorHAnsi" w:cstheme="minorBidi"/>
          <w:b w:val="0"/>
          <w:sz w:val="22"/>
          <w:szCs w:val="22"/>
        </w:rPr>
        <w:tab/>
      </w:r>
      <w:r w:rsidR="00475913">
        <w:t>Strategic Overview</w:t>
      </w:r>
      <w:r w:rsidR="00475913">
        <w:tab/>
      </w:r>
      <w:r w:rsidR="00475913">
        <w:fldChar w:fldCharType="begin"/>
      </w:r>
      <w:r w:rsidR="00475913">
        <w:instrText xml:space="preserve"> PAGEREF _Toc519849244 \h </w:instrText>
      </w:r>
      <w:r w:rsidR="00475913">
        <w:fldChar w:fldCharType="separate"/>
      </w:r>
      <w:r w:rsidR="0028199F">
        <w:t>1</w:t>
      </w:r>
      <w:r w:rsidR="00475913">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1.1</w:t>
      </w:r>
      <w:r>
        <w:rPr>
          <w:rFonts w:asciiTheme="minorHAnsi" w:eastAsiaTheme="minorEastAsia" w:hAnsiTheme="minorHAnsi" w:cstheme="minorBidi"/>
          <w:sz w:val="22"/>
          <w:szCs w:val="22"/>
        </w:rPr>
        <w:tab/>
      </w:r>
      <w:r>
        <w:t>Precinct context</w:t>
      </w:r>
      <w:r>
        <w:tab/>
      </w:r>
      <w:r>
        <w:fldChar w:fldCharType="begin"/>
      </w:r>
      <w:r>
        <w:instrText xml:space="preserve"> PAGEREF _Toc519849245 \h </w:instrText>
      </w:r>
      <w:r>
        <w:fldChar w:fldCharType="separate"/>
      </w:r>
      <w:r w:rsidR="0028199F">
        <w:t>1</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1.2</w:t>
      </w:r>
      <w:r>
        <w:rPr>
          <w:rFonts w:asciiTheme="minorHAnsi" w:eastAsiaTheme="minorEastAsia" w:hAnsiTheme="minorHAnsi" w:cstheme="minorBidi"/>
          <w:sz w:val="22"/>
          <w:szCs w:val="22"/>
        </w:rPr>
        <w:tab/>
      </w:r>
      <w:r>
        <w:t>Existing planning controls</w:t>
      </w:r>
      <w:r>
        <w:tab/>
      </w:r>
      <w:r>
        <w:fldChar w:fldCharType="begin"/>
      </w:r>
      <w:r>
        <w:instrText xml:space="preserve"> PAGEREF _Toc519849246 \h </w:instrText>
      </w:r>
      <w:r>
        <w:fldChar w:fldCharType="separate"/>
      </w:r>
      <w:r w:rsidR="0028199F">
        <w:t>2</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1.3</w:t>
      </w:r>
      <w:r>
        <w:rPr>
          <w:rFonts w:asciiTheme="minorHAnsi" w:eastAsiaTheme="minorEastAsia" w:hAnsiTheme="minorHAnsi" w:cstheme="minorBidi"/>
          <w:sz w:val="22"/>
          <w:szCs w:val="22"/>
        </w:rPr>
        <w:tab/>
      </w:r>
      <w:r>
        <w:t>Planning permit application history</w:t>
      </w:r>
      <w:r>
        <w:tab/>
      </w:r>
      <w:r>
        <w:fldChar w:fldCharType="begin"/>
      </w:r>
      <w:r>
        <w:instrText xml:space="preserve"> PAGEREF _Toc519849247 \h </w:instrText>
      </w:r>
      <w:r>
        <w:fldChar w:fldCharType="separate"/>
      </w:r>
      <w:r w:rsidR="0028199F">
        <w:t>3</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1.4</w:t>
      </w:r>
      <w:r>
        <w:rPr>
          <w:rFonts w:asciiTheme="minorHAnsi" w:eastAsiaTheme="minorEastAsia" w:hAnsiTheme="minorHAnsi" w:cstheme="minorBidi"/>
          <w:sz w:val="22"/>
          <w:szCs w:val="22"/>
        </w:rPr>
        <w:tab/>
      </w:r>
      <w:r>
        <w:t>Hearing process</w:t>
      </w:r>
      <w:r>
        <w:tab/>
      </w:r>
      <w:r>
        <w:fldChar w:fldCharType="begin"/>
      </w:r>
      <w:r>
        <w:instrText xml:space="preserve"> PAGEREF _Toc519849248 \h </w:instrText>
      </w:r>
      <w:r>
        <w:fldChar w:fldCharType="separate"/>
      </w:r>
      <w:r w:rsidR="0028199F">
        <w:t>4</w:t>
      </w:r>
      <w:r>
        <w:fldChar w:fldCharType="end"/>
      </w:r>
    </w:p>
    <w:p w:rsidR="00475913" w:rsidRDefault="00475913">
      <w:pPr>
        <w:pStyle w:val="TOC1"/>
        <w:rPr>
          <w:rFonts w:asciiTheme="minorHAnsi" w:eastAsiaTheme="minorEastAsia" w:hAnsiTheme="minorHAnsi" w:cstheme="minorBidi"/>
          <w:b w:val="0"/>
          <w:sz w:val="22"/>
          <w:szCs w:val="22"/>
        </w:rPr>
      </w:pPr>
      <w:r w:rsidRPr="00782B7C">
        <w:rPr>
          <w:rFonts w:cs="Times New Roman"/>
          <w:color w:val="000000"/>
        </w:rPr>
        <w:t>2</w:t>
      </w:r>
      <w:r>
        <w:rPr>
          <w:rFonts w:asciiTheme="minorHAnsi" w:eastAsiaTheme="minorEastAsia" w:hAnsiTheme="minorHAnsi" w:cstheme="minorBidi"/>
          <w:b w:val="0"/>
          <w:sz w:val="22"/>
          <w:szCs w:val="22"/>
        </w:rPr>
        <w:tab/>
      </w:r>
      <w:r>
        <w:t>Vision and Framework</w:t>
      </w:r>
      <w:r>
        <w:tab/>
      </w:r>
      <w:r>
        <w:fldChar w:fldCharType="begin"/>
      </w:r>
      <w:r>
        <w:instrText xml:space="preserve"> PAGEREF _Toc519849249 \h </w:instrText>
      </w:r>
      <w:r>
        <w:fldChar w:fldCharType="separate"/>
      </w:r>
      <w:r w:rsidR="0028199F">
        <w:t>6</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2.1</w:t>
      </w:r>
      <w:r>
        <w:rPr>
          <w:rFonts w:asciiTheme="minorHAnsi" w:eastAsiaTheme="minorEastAsia" w:hAnsiTheme="minorHAnsi" w:cstheme="minorBidi"/>
          <w:sz w:val="22"/>
          <w:szCs w:val="22"/>
        </w:rPr>
        <w:tab/>
      </w:r>
      <w:r>
        <w:t>Montague Vision</w:t>
      </w:r>
      <w:r>
        <w:tab/>
      </w:r>
      <w:r>
        <w:fldChar w:fldCharType="begin"/>
      </w:r>
      <w:r>
        <w:instrText xml:space="preserve"> PAGEREF _Toc519849250 \h </w:instrText>
      </w:r>
      <w:r>
        <w:fldChar w:fldCharType="separate"/>
      </w:r>
      <w:r w:rsidR="0028199F">
        <w:t>6</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2.2</w:t>
      </w:r>
      <w:r>
        <w:rPr>
          <w:rFonts w:asciiTheme="minorHAnsi" w:eastAsiaTheme="minorEastAsia" w:hAnsiTheme="minorHAnsi" w:cstheme="minorBidi"/>
          <w:sz w:val="22"/>
          <w:szCs w:val="22"/>
        </w:rPr>
        <w:tab/>
      </w:r>
      <w:r>
        <w:t>Proposed Urban Structure</w:t>
      </w:r>
      <w:r>
        <w:tab/>
      </w:r>
      <w:r>
        <w:fldChar w:fldCharType="begin"/>
      </w:r>
      <w:r>
        <w:instrText xml:space="preserve"> PAGEREF _Toc519849251 \h </w:instrText>
      </w:r>
      <w:r>
        <w:fldChar w:fldCharType="separate"/>
      </w:r>
      <w:r w:rsidR="0028199F">
        <w:t>6</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2.3</w:t>
      </w:r>
      <w:r>
        <w:rPr>
          <w:rFonts w:asciiTheme="minorHAnsi" w:eastAsiaTheme="minorEastAsia" w:hAnsiTheme="minorHAnsi" w:cstheme="minorBidi"/>
          <w:sz w:val="22"/>
          <w:szCs w:val="22"/>
        </w:rPr>
        <w:tab/>
      </w:r>
      <w:r>
        <w:t>Proposed built form</w:t>
      </w:r>
      <w:r>
        <w:tab/>
      </w:r>
      <w:r>
        <w:fldChar w:fldCharType="begin"/>
      </w:r>
      <w:r>
        <w:instrText xml:space="preserve"> PAGEREF _Toc519849252 \h </w:instrText>
      </w:r>
      <w:r>
        <w:fldChar w:fldCharType="separate"/>
      </w:r>
      <w:r w:rsidR="0028199F">
        <w:t>8</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2.4</w:t>
      </w:r>
      <w:r>
        <w:rPr>
          <w:rFonts w:asciiTheme="minorHAnsi" w:eastAsiaTheme="minorEastAsia" w:hAnsiTheme="minorHAnsi" w:cstheme="minorBidi"/>
          <w:sz w:val="22"/>
          <w:szCs w:val="22"/>
        </w:rPr>
        <w:tab/>
      </w:r>
      <w:r>
        <w:t>Key issues</w:t>
      </w:r>
      <w:r>
        <w:tab/>
      </w:r>
      <w:r>
        <w:fldChar w:fldCharType="begin"/>
      </w:r>
      <w:r>
        <w:instrText xml:space="preserve"> PAGEREF _Toc519849253 \h </w:instrText>
      </w:r>
      <w:r>
        <w:fldChar w:fldCharType="separate"/>
      </w:r>
      <w:r w:rsidR="0028199F">
        <w:t>8</w:t>
      </w:r>
      <w:r>
        <w:fldChar w:fldCharType="end"/>
      </w:r>
    </w:p>
    <w:p w:rsidR="00475913" w:rsidRDefault="00475913">
      <w:pPr>
        <w:pStyle w:val="TOC1"/>
        <w:rPr>
          <w:rFonts w:asciiTheme="minorHAnsi" w:eastAsiaTheme="minorEastAsia" w:hAnsiTheme="minorHAnsi" w:cstheme="minorBidi"/>
          <w:b w:val="0"/>
          <w:sz w:val="22"/>
          <w:szCs w:val="22"/>
        </w:rPr>
      </w:pPr>
      <w:r w:rsidRPr="00782B7C">
        <w:rPr>
          <w:rFonts w:cs="Times New Roman"/>
          <w:color w:val="000000"/>
        </w:rPr>
        <w:t>3</w:t>
      </w:r>
      <w:r>
        <w:rPr>
          <w:rFonts w:asciiTheme="minorHAnsi" w:eastAsiaTheme="minorEastAsia" w:hAnsiTheme="minorHAnsi" w:cstheme="minorBidi"/>
          <w:b w:val="0"/>
          <w:sz w:val="22"/>
          <w:szCs w:val="22"/>
        </w:rPr>
        <w:tab/>
      </w:r>
      <w:r>
        <w:t>Urban structure and built form</w:t>
      </w:r>
      <w:r>
        <w:tab/>
      </w:r>
      <w:r>
        <w:fldChar w:fldCharType="begin"/>
      </w:r>
      <w:r>
        <w:instrText xml:space="preserve"> PAGEREF _Toc519849254 \h </w:instrText>
      </w:r>
      <w:r>
        <w:fldChar w:fldCharType="separate"/>
      </w:r>
      <w:r w:rsidR="0028199F">
        <w:t>10</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3.1</w:t>
      </w:r>
      <w:r>
        <w:rPr>
          <w:rFonts w:asciiTheme="minorHAnsi" w:eastAsiaTheme="minorEastAsia" w:hAnsiTheme="minorHAnsi" w:cstheme="minorBidi"/>
          <w:sz w:val="22"/>
          <w:szCs w:val="22"/>
        </w:rPr>
        <w:tab/>
      </w:r>
      <w:r>
        <w:t>Context</w:t>
      </w:r>
      <w:r>
        <w:tab/>
      </w:r>
      <w:r>
        <w:fldChar w:fldCharType="begin"/>
      </w:r>
      <w:r>
        <w:instrText xml:space="preserve"> PAGEREF _Toc519849255 \h </w:instrText>
      </w:r>
      <w:r>
        <w:fldChar w:fldCharType="separate"/>
      </w:r>
      <w:r w:rsidR="0028199F">
        <w:t>10</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3.2</w:t>
      </w:r>
      <w:r>
        <w:rPr>
          <w:rFonts w:asciiTheme="minorHAnsi" w:eastAsiaTheme="minorEastAsia" w:hAnsiTheme="minorHAnsi" w:cstheme="minorBidi"/>
          <w:sz w:val="22"/>
          <w:szCs w:val="22"/>
        </w:rPr>
        <w:tab/>
      </w:r>
      <w:r>
        <w:t>General urban structure</w:t>
      </w:r>
      <w:r>
        <w:tab/>
      </w:r>
      <w:r>
        <w:fldChar w:fldCharType="begin"/>
      </w:r>
      <w:r>
        <w:instrText xml:space="preserve"> PAGEREF _Toc519849256 \h </w:instrText>
      </w:r>
      <w:r>
        <w:fldChar w:fldCharType="separate"/>
      </w:r>
      <w:r w:rsidR="0028199F">
        <w:t>15</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3.3</w:t>
      </w:r>
      <w:r>
        <w:rPr>
          <w:rFonts w:asciiTheme="minorHAnsi" w:eastAsiaTheme="minorEastAsia" w:hAnsiTheme="minorHAnsi" w:cstheme="minorBidi"/>
          <w:sz w:val="22"/>
          <w:szCs w:val="22"/>
        </w:rPr>
        <w:tab/>
      </w:r>
      <w:r>
        <w:t>Proposed density</w:t>
      </w:r>
      <w:r>
        <w:tab/>
      </w:r>
      <w:r>
        <w:fldChar w:fldCharType="begin"/>
      </w:r>
      <w:r>
        <w:instrText xml:space="preserve"> PAGEREF _Toc519849257 \h </w:instrText>
      </w:r>
      <w:r>
        <w:fldChar w:fldCharType="separate"/>
      </w:r>
      <w:r w:rsidR="0028199F">
        <w:t>16</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3.4</w:t>
      </w:r>
      <w:r>
        <w:rPr>
          <w:rFonts w:asciiTheme="minorHAnsi" w:eastAsiaTheme="minorEastAsia" w:hAnsiTheme="minorHAnsi" w:cstheme="minorBidi"/>
          <w:sz w:val="22"/>
          <w:szCs w:val="22"/>
        </w:rPr>
        <w:tab/>
      </w:r>
      <w:r>
        <w:t>Achieving a varied building typology</w:t>
      </w:r>
      <w:r>
        <w:tab/>
      </w:r>
      <w:r>
        <w:fldChar w:fldCharType="begin"/>
      </w:r>
      <w:r>
        <w:instrText xml:space="preserve"> PAGEREF _Toc519849258 \h </w:instrText>
      </w:r>
      <w:r>
        <w:fldChar w:fldCharType="separate"/>
      </w:r>
      <w:r w:rsidR="0028199F">
        <w:t>17</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3.5</w:t>
      </w:r>
      <w:r>
        <w:rPr>
          <w:rFonts w:asciiTheme="minorHAnsi" w:eastAsiaTheme="minorEastAsia" w:hAnsiTheme="minorHAnsi" w:cstheme="minorBidi"/>
          <w:sz w:val="22"/>
          <w:szCs w:val="22"/>
        </w:rPr>
        <w:tab/>
      </w:r>
      <w:r>
        <w:t>Building heights</w:t>
      </w:r>
      <w:r>
        <w:tab/>
      </w:r>
      <w:r>
        <w:fldChar w:fldCharType="begin"/>
      </w:r>
      <w:r>
        <w:instrText xml:space="preserve"> PAGEREF _Toc519849259 \h </w:instrText>
      </w:r>
      <w:r>
        <w:fldChar w:fldCharType="separate"/>
      </w:r>
      <w:r w:rsidR="0028199F">
        <w:t>18</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3.6</w:t>
      </w:r>
      <w:r>
        <w:rPr>
          <w:rFonts w:asciiTheme="minorHAnsi" w:eastAsiaTheme="minorEastAsia" w:hAnsiTheme="minorHAnsi" w:cstheme="minorBidi"/>
          <w:sz w:val="22"/>
          <w:szCs w:val="22"/>
        </w:rPr>
        <w:tab/>
      </w:r>
      <w:r>
        <w:t>Street wall heights</w:t>
      </w:r>
      <w:r>
        <w:tab/>
      </w:r>
      <w:r>
        <w:fldChar w:fldCharType="begin"/>
      </w:r>
      <w:r>
        <w:instrText xml:space="preserve"> PAGEREF _Toc519849260 \h </w:instrText>
      </w:r>
      <w:r>
        <w:fldChar w:fldCharType="separate"/>
      </w:r>
      <w:r w:rsidR="0028199F">
        <w:t>19</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3.7</w:t>
      </w:r>
      <w:r>
        <w:rPr>
          <w:rFonts w:asciiTheme="minorHAnsi" w:eastAsiaTheme="minorEastAsia" w:hAnsiTheme="minorHAnsi" w:cstheme="minorBidi"/>
          <w:sz w:val="22"/>
          <w:szCs w:val="22"/>
        </w:rPr>
        <w:tab/>
      </w:r>
      <w:r>
        <w:t>Designation of a core retail area and active frontages</w:t>
      </w:r>
      <w:r>
        <w:tab/>
      </w:r>
      <w:r>
        <w:fldChar w:fldCharType="begin"/>
      </w:r>
      <w:r>
        <w:instrText xml:space="preserve"> PAGEREF _Toc519849261 \h </w:instrText>
      </w:r>
      <w:r>
        <w:fldChar w:fldCharType="separate"/>
      </w:r>
      <w:r w:rsidR="0028199F">
        <w:t>20</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3.8</w:t>
      </w:r>
      <w:r>
        <w:rPr>
          <w:rFonts w:asciiTheme="minorHAnsi" w:eastAsiaTheme="minorEastAsia" w:hAnsiTheme="minorHAnsi" w:cstheme="minorBidi"/>
          <w:sz w:val="22"/>
          <w:szCs w:val="22"/>
        </w:rPr>
        <w:tab/>
      </w:r>
      <w:r>
        <w:t>Findings</w:t>
      </w:r>
      <w:r>
        <w:tab/>
      </w:r>
      <w:r>
        <w:fldChar w:fldCharType="begin"/>
      </w:r>
      <w:r>
        <w:instrText xml:space="preserve"> PAGEREF _Toc519849262 \h </w:instrText>
      </w:r>
      <w:r>
        <w:fldChar w:fldCharType="separate"/>
      </w:r>
      <w:r w:rsidR="0028199F">
        <w:t>21</w:t>
      </w:r>
      <w:r>
        <w:fldChar w:fldCharType="end"/>
      </w:r>
    </w:p>
    <w:p w:rsidR="00475913" w:rsidRDefault="00475913">
      <w:pPr>
        <w:pStyle w:val="TOC1"/>
        <w:rPr>
          <w:rFonts w:asciiTheme="minorHAnsi" w:eastAsiaTheme="minorEastAsia" w:hAnsiTheme="minorHAnsi" w:cstheme="minorBidi"/>
          <w:b w:val="0"/>
          <w:sz w:val="22"/>
          <w:szCs w:val="22"/>
        </w:rPr>
      </w:pPr>
      <w:r w:rsidRPr="00782B7C">
        <w:rPr>
          <w:rFonts w:cs="Times New Roman"/>
          <w:color w:val="000000"/>
        </w:rPr>
        <w:t>4</w:t>
      </w:r>
      <w:r>
        <w:rPr>
          <w:rFonts w:asciiTheme="minorHAnsi" w:eastAsiaTheme="minorEastAsia" w:hAnsiTheme="minorHAnsi" w:cstheme="minorBidi"/>
          <w:b w:val="0"/>
          <w:sz w:val="22"/>
          <w:szCs w:val="22"/>
        </w:rPr>
        <w:tab/>
      </w:r>
      <w:r>
        <w:t>Location of open space</w:t>
      </w:r>
      <w:r>
        <w:tab/>
      </w:r>
      <w:r>
        <w:fldChar w:fldCharType="begin"/>
      </w:r>
      <w:r>
        <w:instrText xml:space="preserve"> PAGEREF _Toc519849263 \h </w:instrText>
      </w:r>
      <w:r>
        <w:fldChar w:fldCharType="separate"/>
      </w:r>
      <w:r w:rsidR="0028199F">
        <w:t>22</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4.1</w:t>
      </w:r>
      <w:r>
        <w:rPr>
          <w:rFonts w:asciiTheme="minorHAnsi" w:eastAsiaTheme="minorEastAsia" w:hAnsiTheme="minorHAnsi" w:cstheme="minorBidi"/>
          <w:sz w:val="22"/>
          <w:szCs w:val="22"/>
        </w:rPr>
        <w:tab/>
      </w:r>
      <w:r>
        <w:t>Context</w:t>
      </w:r>
      <w:r>
        <w:tab/>
      </w:r>
      <w:r>
        <w:fldChar w:fldCharType="begin"/>
      </w:r>
      <w:r>
        <w:instrText xml:space="preserve"> PAGEREF _Toc519849264 \h </w:instrText>
      </w:r>
      <w:r>
        <w:fldChar w:fldCharType="separate"/>
      </w:r>
      <w:r w:rsidR="0028199F">
        <w:t>22</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4.2</w:t>
      </w:r>
      <w:r>
        <w:rPr>
          <w:rFonts w:asciiTheme="minorHAnsi" w:eastAsiaTheme="minorEastAsia" w:hAnsiTheme="minorHAnsi" w:cstheme="minorBidi"/>
          <w:sz w:val="22"/>
          <w:szCs w:val="22"/>
        </w:rPr>
        <w:tab/>
      </w:r>
      <w:r>
        <w:t>Submissions and evidence</w:t>
      </w:r>
      <w:r>
        <w:tab/>
      </w:r>
      <w:r>
        <w:fldChar w:fldCharType="begin"/>
      </w:r>
      <w:r>
        <w:instrText xml:space="preserve"> PAGEREF _Toc519849265 \h </w:instrText>
      </w:r>
      <w:r>
        <w:fldChar w:fldCharType="separate"/>
      </w:r>
      <w:r w:rsidR="0028199F">
        <w:t>22</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4.3</w:t>
      </w:r>
      <w:r>
        <w:rPr>
          <w:rFonts w:asciiTheme="minorHAnsi" w:eastAsiaTheme="minorEastAsia" w:hAnsiTheme="minorHAnsi" w:cstheme="minorBidi"/>
          <w:sz w:val="22"/>
          <w:szCs w:val="22"/>
        </w:rPr>
        <w:tab/>
      </w:r>
      <w:r>
        <w:t>Discussion</w:t>
      </w:r>
      <w:r>
        <w:tab/>
      </w:r>
      <w:r>
        <w:fldChar w:fldCharType="begin"/>
      </w:r>
      <w:r>
        <w:instrText xml:space="preserve"> PAGEREF _Toc519849266 \h </w:instrText>
      </w:r>
      <w:r>
        <w:fldChar w:fldCharType="separate"/>
      </w:r>
      <w:r w:rsidR="0028199F">
        <w:t>23</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4.4</w:t>
      </w:r>
      <w:r>
        <w:rPr>
          <w:rFonts w:asciiTheme="minorHAnsi" w:eastAsiaTheme="minorEastAsia" w:hAnsiTheme="minorHAnsi" w:cstheme="minorBidi"/>
          <w:sz w:val="22"/>
          <w:szCs w:val="22"/>
        </w:rPr>
        <w:tab/>
      </w:r>
      <w:r>
        <w:t>Findings and recommendations</w:t>
      </w:r>
      <w:r>
        <w:tab/>
      </w:r>
      <w:r>
        <w:fldChar w:fldCharType="begin"/>
      </w:r>
      <w:r>
        <w:instrText xml:space="preserve"> PAGEREF _Toc519849267 \h </w:instrText>
      </w:r>
      <w:r>
        <w:fldChar w:fldCharType="separate"/>
      </w:r>
      <w:r w:rsidR="0028199F">
        <w:t>24</w:t>
      </w:r>
      <w:r>
        <w:fldChar w:fldCharType="end"/>
      </w:r>
    </w:p>
    <w:p w:rsidR="00475913" w:rsidRDefault="00475913">
      <w:pPr>
        <w:pStyle w:val="TOC1"/>
        <w:rPr>
          <w:rFonts w:asciiTheme="minorHAnsi" w:eastAsiaTheme="minorEastAsia" w:hAnsiTheme="minorHAnsi" w:cstheme="minorBidi"/>
          <w:b w:val="0"/>
          <w:sz w:val="22"/>
          <w:szCs w:val="22"/>
        </w:rPr>
      </w:pPr>
      <w:r w:rsidRPr="00782B7C">
        <w:rPr>
          <w:rFonts w:cs="Times New Roman"/>
          <w:color w:val="000000"/>
        </w:rPr>
        <w:t>5</w:t>
      </w:r>
      <w:r>
        <w:rPr>
          <w:rFonts w:asciiTheme="minorHAnsi" w:eastAsiaTheme="minorEastAsia" w:hAnsiTheme="minorHAnsi" w:cstheme="minorBidi"/>
          <w:b w:val="0"/>
          <w:sz w:val="22"/>
          <w:szCs w:val="22"/>
        </w:rPr>
        <w:tab/>
      </w:r>
      <w:r>
        <w:t>Location of hubs</w:t>
      </w:r>
      <w:r>
        <w:tab/>
      </w:r>
      <w:r>
        <w:fldChar w:fldCharType="begin"/>
      </w:r>
      <w:r>
        <w:instrText xml:space="preserve"> PAGEREF _Toc519849268 \h </w:instrText>
      </w:r>
      <w:r>
        <w:fldChar w:fldCharType="separate"/>
      </w:r>
      <w:r w:rsidR="0028199F">
        <w:t>26</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5.1</w:t>
      </w:r>
      <w:r>
        <w:rPr>
          <w:rFonts w:asciiTheme="minorHAnsi" w:eastAsiaTheme="minorEastAsia" w:hAnsiTheme="minorHAnsi" w:cstheme="minorBidi"/>
          <w:sz w:val="22"/>
          <w:szCs w:val="22"/>
        </w:rPr>
        <w:tab/>
      </w:r>
      <w:r>
        <w:t>Context</w:t>
      </w:r>
      <w:r>
        <w:tab/>
      </w:r>
      <w:r>
        <w:fldChar w:fldCharType="begin"/>
      </w:r>
      <w:r>
        <w:instrText xml:space="preserve"> PAGEREF _Toc519849269 \h </w:instrText>
      </w:r>
      <w:r>
        <w:fldChar w:fldCharType="separate"/>
      </w:r>
      <w:r w:rsidR="0028199F">
        <w:t>26</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5.2</w:t>
      </w:r>
      <w:r>
        <w:rPr>
          <w:rFonts w:asciiTheme="minorHAnsi" w:eastAsiaTheme="minorEastAsia" w:hAnsiTheme="minorHAnsi" w:cstheme="minorBidi"/>
          <w:sz w:val="22"/>
          <w:szCs w:val="22"/>
        </w:rPr>
        <w:tab/>
      </w:r>
      <w:r>
        <w:t>Submissions and evidence</w:t>
      </w:r>
      <w:r>
        <w:tab/>
      </w:r>
      <w:r>
        <w:fldChar w:fldCharType="begin"/>
      </w:r>
      <w:r>
        <w:instrText xml:space="preserve"> PAGEREF _Toc519849270 \h </w:instrText>
      </w:r>
      <w:r>
        <w:fldChar w:fldCharType="separate"/>
      </w:r>
      <w:r w:rsidR="0028199F">
        <w:t>26</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5.3</w:t>
      </w:r>
      <w:r>
        <w:rPr>
          <w:rFonts w:asciiTheme="minorHAnsi" w:eastAsiaTheme="minorEastAsia" w:hAnsiTheme="minorHAnsi" w:cstheme="minorBidi"/>
          <w:sz w:val="22"/>
          <w:szCs w:val="22"/>
        </w:rPr>
        <w:tab/>
      </w:r>
      <w:r>
        <w:t>Discussion</w:t>
      </w:r>
      <w:r>
        <w:tab/>
      </w:r>
      <w:r>
        <w:fldChar w:fldCharType="begin"/>
      </w:r>
      <w:r>
        <w:instrText xml:space="preserve"> PAGEREF _Toc519849271 \h </w:instrText>
      </w:r>
      <w:r>
        <w:fldChar w:fldCharType="separate"/>
      </w:r>
      <w:r w:rsidR="0028199F">
        <w:t>27</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5.4</w:t>
      </w:r>
      <w:r>
        <w:rPr>
          <w:rFonts w:asciiTheme="minorHAnsi" w:eastAsiaTheme="minorEastAsia" w:hAnsiTheme="minorHAnsi" w:cstheme="minorBidi"/>
          <w:sz w:val="22"/>
          <w:szCs w:val="22"/>
        </w:rPr>
        <w:tab/>
      </w:r>
      <w:r>
        <w:t>Findings</w:t>
      </w:r>
      <w:r>
        <w:tab/>
      </w:r>
      <w:r>
        <w:fldChar w:fldCharType="begin"/>
      </w:r>
      <w:r>
        <w:instrText xml:space="preserve"> PAGEREF _Toc519849272 \h </w:instrText>
      </w:r>
      <w:r>
        <w:fldChar w:fldCharType="separate"/>
      </w:r>
      <w:r w:rsidR="0028199F">
        <w:t>28</w:t>
      </w:r>
      <w:r>
        <w:fldChar w:fldCharType="end"/>
      </w:r>
    </w:p>
    <w:p w:rsidR="00475913" w:rsidRDefault="00475913">
      <w:pPr>
        <w:pStyle w:val="TOC1"/>
        <w:rPr>
          <w:rFonts w:asciiTheme="minorHAnsi" w:eastAsiaTheme="minorEastAsia" w:hAnsiTheme="minorHAnsi" w:cstheme="minorBidi"/>
          <w:b w:val="0"/>
          <w:sz w:val="22"/>
          <w:szCs w:val="22"/>
        </w:rPr>
      </w:pPr>
      <w:r w:rsidRPr="00782B7C">
        <w:rPr>
          <w:rFonts w:cs="Times New Roman"/>
          <w:color w:val="000000"/>
        </w:rPr>
        <w:t>6</w:t>
      </w:r>
      <w:r>
        <w:rPr>
          <w:rFonts w:asciiTheme="minorHAnsi" w:eastAsiaTheme="minorEastAsia" w:hAnsiTheme="minorHAnsi" w:cstheme="minorBidi"/>
          <w:b w:val="0"/>
          <w:sz w:val="22"/>
          <w:szCs w:val="22"/>
        </w:rPr>
        <w:tab/>
      </w:r>
      <w:r>
        <w:t>Overshadowing</w:t>
      </w:r>
      <w:r>
        <w:tab/>
      </w:r>
      <w:r>
        <w:fldChar w:fldCharType="begin"/>
      </w:r>
      <w:r>
        <w:instrText xml:space="preserve"> PAGEREF _Toc519849273 \h </w:instrText>
      </w:r>
      <w:r>
        <w:fldChar w:fldCharType="separate"/>
      </w:r>
      <w:r w:rsidR="0028199F">
        <w:t>29</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6.1</w:t>
      </w:r>
      <w:r>
        <w:rPr>
          <w:rFonts w:asciiTheme="minorHAnsi" w:eastAsiaTheme="minorEastAsia" w:hAnsiTheme="minorHAnsi" w:cstheme="minorBidi"/>
          <w:sz w:val="22"/>
          <w:szCs w:val="22"/>
        </w:rPr>
        <w:tab/>
      </w:r>
      <w:r>
        <w:t>Context</w:t>
      </w:r>
      <w:r>
        <w:tab/>
      </w:r>
      <w:r>
        <w:fldChar w:fldCharType="begin"/>
      </w:r>
      <w:r>
        <w:instrText xml:space="preserve"> PAGEREF _Toc519849274 \h </w:instrText>
      </w:r>
      <w:r>
        <w:fldChar w:fldCharType="separate"/>
      </w:r>
      <w:r w:rsidR="0028199F">
        <w:t>29</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6.2</w:t>
      </w:r>
      <w:r>
        <w:rPr>
          <w:rFonts w:asciiTheme="minorHAnsi" w:eastAsiaTheme="minorEastAsia" w:hAnsiTheme="minorHAnsi" w:cstheme="minorBidi"/>
          <w:sz w:val="22"/>
          <w:szCs w:val="22"/>
        </w:rPr>
        <w:tab/>
      </w:r>
      <w:r>
        <w:t>Submissions and evidence</w:t>
      </w:r>
      <w:r>
        <w:tab/>
      </w:r>
      <w:r>
        <w:fldChar w:fldCharType="begin"/>
      </w:r>
      <w:r>
        <w:instrText xml:space="preserve"> PAGEREF _Toc519849275 \h </w:instrText>
      </w:r>
      <w:r>
        <w:fldChar w:fldCharType="separate"/>
      </w:r>
      <w:r w:rsidR="0028199F">
        <w:t>29</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6.3</w:t>
      </w:r>
      <w:r>
        <w:rPr>
          <w:rFonts w:asciiTheme="minorHAnsi" w:eastAsiaTheme="minorEastAsia" w:hAnsiTheme="minorHAnsi" w:cstheme="minorBidi"/>
          <w:sz w:val="22"/>
          <w:szCs w:val="22"/>
        </w:rPr>
        <w:tab/>
      </w:r>
      <w:r>
        <w:t>Discussion</w:t>
      </w:r>
      <w:r>
        <w:tab/>
      </w:r>
      <w:r>
        <w:fldChar w:fldCharType="begin"/>
      </w:r>
      <w:r>
        <w:instrText xml:space="preserve"> PAGEREF _Toc519849276 \h </w:instrText>
      </w:r>
      <w:r>
        <w:fldChar w:fldCharType="separate"/>
      </w:r>
      <w:r w:rsidR="0028199F">
        <w:t>30</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6.4</w:t>
      </w:r>
      <w:r>
        <w:rPr>
          <w:rFonts w:asciiTheme="minorHAnsi" w:eastAsiaTheme="minorEastAsia" w:hAnsiTheme="minorHAnsi" w:cstheme="minorBidi"/>
          <w:sz w:val="22"/>
          <w:szCs w:val="22"/>
        </w:rPr>
        <w:tab/>
      </w:r>
      <w:r>
        <w:t>Findings</w:t>
      </w:r>
      <w:r>
        <w:tab/>
      </w:r>
      <w:r>
        <w:fldChar w:fldCharType="begin"/>
      </w:r>
      <w:r>
        <w:instrText xml:space="preserve"> PAGEREF _Toc519849277 \h </w:instrText>
      </w:r>
      <w:r>
        <w:fldChar w:fldCharType="separate"/>
      </w:r>
      <w:r w:rsidR="0028199F">
        <w:t>31</w:t>
      </w:r>
      <w:r>
        <w:fldChar w:fldCharType="end"/>
      </w:r>
    </w:p>
    <w:p w:rsidR="00475913" w:rsidRDefault="00475913">
      <w:pPr>
        <w:pStyle w:val="TOC1"/>
        <w:rPr>
          <w:rFonts w:asciiTheme="minorHAnsi" w:eastAsiaTheme="minorEastAsia" w:hAnsiTheme="minorHAnsi" w:cstheme="minorBidi"/>
          <w:b w:val="0"/>
          <w:sz w:val="22"/>
          <w:szCs w:val="22"/>
        </w:rPr>
      </w:pPr>
      <w:r w:rsidRPr="00782B7C">
        <w:rPr>
          <w:rFonts w:cs="Times New Roman"/>
          <w:color w:val="000000"/>
        </w:rPr>
        <w:t>7</w:t>
      </w:r>
      <w:r>
        <w:rPr>
          <w:rFonts w:asciiTheme="minorHAnsi" w:eastAsiaTheme="minorEastAsia" w:hAnsiTheme="minorHAnsi" w:cstheme="minorBidi"/>
          <w:b w:val="0"/>
          <w:sz w:val="22"/>
          <w:szCs w:val="22"/>
        </w:rPr>
        <w:tab/>
      </w:r>
      <w:r>
        <w:t>Roads and transport infrastructure</w:t>
      </w:r>
      <w:r>
        <w:tab/>
      </w:r>
      <w:r>
        <w:fldChar w:fldCharType="begin"/>
      </w:r>
      <w:r>
        <w:instrText xml:space="preserve"> PAGEREF _Toc519849278 \h </w:instrText>
      </w:r>
      <w:r>
        <w:fldChar w:fldCharType="separate"/>
      </w:r>
      <w:r w:rsidR="0028199F">
        <w:t>32</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7.1</w:t>
      </w:r>
      <w:r>
        <w:rPr>
          <w:rFonts w:asciiTheme="minorHAnsi" w:eastAsiaTheme="minorEastAsia" w:hAnsiTheme="minorHAnsi" w:cstheme="minorBidi"/>
          <w:sz w:val="22"/>
          <w:szCs w:val="22"/>
        </w:rPr>
        <w:tab/>
      </w:r>
      <w:r>
        <w:t>187 – 197 Normanby Road ‘no crossovers’ status</w:t>
      </w:r>
      <w:r>
        <w:tab/>
      </w:r>
      <w:r>
        <w:fldChar w:fldCharType="begin"/>
      </w:r>
      <w:r>
        <w:instrText xml:space="preserve"> PAGEREF _Toc519849279 \h </w:instrText>
      </w:r>
      <w:r>
        <w:fldChar w:fldCharType="separate"/>
      </w:r>
      <w:r w:rsidR="0028199F">
        <w:t>32</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7.2</w:t>
      </w:r>
      <w:r>
        <w:rPr>
          <w:rFonts w:asciiTheme="minorHAnsi" w:eastAsiaTheme="minorEastAsia" w:hAnsiTheme="minorHAnsi" w:cstheme="minorBidi"/>
          <w:sz w:val="22"/>
          <w:szCs w:val="22"/>
        </w:rPr>
        <w:tab/>
      </w:r>
      <w:r>
        <w:t>Laneways</w:t>
      </w:r>
      <w:r>
        <w:tab/>
      </w:r>
      <w:r>
        <w:fldChar w:fldCharType="begin"/>
      </w:r>
      <w:r>
        <w:instrText xml:space="preserve"> PAGEREF _Toc519849280 \h </w:instrText>
      </w:r>
      <w:r>
        <w:fldChar w:fldCharType="separate"/>
      </w:r>
      <w:r w:rsidR="0028199F">
        <w:t>33</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lastRenderedPageBreak/>
        <w:t>7.3</w:t>
      </w:r>
      <w:r>
        <w:rPr>
          <w:rFonts w:asciiTheme="minorHAnsi" w:eastAsiaTheme="minorEastAsia" w:hAnsiTheme="minorHAnsi" w:cstheme="minorBidi"/>
          <w:sz w:val="22"/>
          <w:szCs w:val="22"/>
        </w:rPr>
        <w:tab/>
      </w:r>
      <w:r>
        <w:t>Other traffic issues</w:t>
      </w:r>
      <w:r>
        <w:tab/>
      </w:r>
      <w:r>
        <w:fldChar w:fldCharType="begin"/>
      </w:r>
      <w:r>
        <w:instrText xml:space="preserve"> PAGEREF _Toc519849281 \h </w:instrText>
      </w:r>
      <w:r>
        <w:fldChar w:fldCharType="separate"/>
      </w:r>
      <w:r w:rsidR="0028199F">
        <w:t>36</w:t>
      </w:r>
      <w:r>
        <w:fldChar w:fldCharType="end"/>
      </w:r>
    </w:p>
    <w:p w:rsidR="00475913" w:rsidRDefault="00475913">
      <w:pPr>
        <w:pStyle w:val="TOC1"/>
        <w:rPr>
          <w:rFonts w:asciiTheme="minorHAnsi" w:eastAsiaTheme="minorEastAsia" w:hAnsiTheme="minorHAnsi" w:cstheme="minorBidi"/>
          <w:b w:val="0"/>
          <w:sz w:val="22"/>
          <w:szCs w:val="22"/>
        </w:rPr>
      </w:pPr>
      <w:r w:rsidRPr="00782B7C">
        <w:rPr>
          <w:rFonts w:cs="Times New Roman"/>
          <w:color w:val="000000"/>
        </w:rPr>
        <w:t>8</w:t>
      </w:r>
      <w:r>
        <w:rPr>
          <w:rFonts w:asciiTheme="minorHAnsi" w:eastAsiaTheme="minorEastAsia" w:hAnsiTheme="minorHAnsi" w:cstheme="minorBidi"/>
          <w:b w:val="0"/>
          <w:sz w:val="22"/>
          <w:szCs w:val="22"/>
        </w:rPr>
        <w:tab/>
      </w:r>
      <w:r>
        <w:t>Site specific issues</w:t>
      </w:r>
      <w:r>
        <w:tab/>
      </w:r>
      <w:r>
        <w:fldChar w:fldCharType="begin"/>
      </w:r>
      <w:r>
        <w:instrText xml:space="preserve"> PAGEREF _Toc519849282 \h </w:instrText>
      </w:r>
      <w:r>
        <w:fldChar w:fldCharType="separate"/>
      </w:r>
      <w:r w:rsidR="0028199F">
        <w:t>37</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8.1</w:t>
      </w:r>
      <w:r>
        <w:rPr>
          <w:rFonts w:asciiTheme="minorHAnsi" w:eastAsiaTheme="minorEastAsia" w:hAnsiTheme="minorHAnsi" w:cstheme="minorBidi"/>
          <w:sz w:val="22"/>
          <w:szCs w:val="22"/>
        </w:rPr>
        <w:tab/>
      </w:r>
      <w:r>
        <w:t>Bay Street (S9)</w:t>
      </w:r>
      <w:r>
        <w:tab/>
      </w:r>
      <w:r>
        <w:fldChar w:fldCharType="begin"/>
      </w:r>
      <w:r>
        <w:instrText xml:space="preserve"> PAGEREF _Toc519849283 \h </w:instrText>
      </w:r>
      <w:r>
        <w:fldChar w:fldCharType="separate"/>
      </w:r>
      <w:r w:rsidR="0028199F">
        <w:t>37</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8.2</w:t>
      </w:r>
      <w:r>
        <w:rPr>
          <w:rFonts w:asciiTheme="minorHAnsi" w:eastAsiaTheme="minorEastAsia" w:hAnsiTheme="minorHAnsi" w:cstheme="minorBidi"/>
          <w:sz w:val="22"/>
          <w:szCs w:val="22"/>
        </w:rPr>
        <w:tab/>
      </w:r>
      <w:r>
        <w:t>70 – 104 Gladstone Street (S17)</w:t>
      </w:r>
      <w:r>
        <w:tab/>
      </w:r>
      <w:r>
        <w:fldChar w:fldCharType="begin"/>
      </w:r>
      <w:r>
        <w:instrText xml:space="preserve"> PAGEREF _Toc519849284 \h </w:instrText>
      </w:r>
      <w:r>
        <w:fldChar w:fldCharType="separate"/>
      </w:r>
      <w:r w:rsidR="0028199F">
        <w:t>37</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8.3</w:t>
      </w:r>
      <w:r>
        <w:rPr>
          <w:rFonts w:asciiTheme="minorHAnsi" w:eastAsiaTheme="minorEastAsia" w:hAnsiTheme="minorHAnsi" w:cstheme="minorBidi"/>
          <w:sz w:val="22"/>
          <w:szCs w:val="22"/>
        </w:rPr>
        <w:tab/>
      </w:r>
      <w:r>
        <w:t>144 Ferrars Street (S57)</w:t>
      </w:r>
      <w:r>
        <w:tab/>
      </w:r>
      <w:r>
        <w:fldChar w:fldCharType="begin"/>
      </w:r>
      <w:r>
        <w:instrText xml:space="preserve"> PAGEREF _Toc519849285 \h </w:instrText>
      </w:r>
      <w:r>
        <w:fldChar w:fldCharType="separate"/>
      </w:r>
      <w:r w:rsidR="0028199F">
        <w:t>37</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8.4</w:t>
      </w:r>
      <w:r>
        <w:rPr>
          <w:rFonts w:asciiTheme="minorHAnsi" w:eastAsiaTheme="minorEastAsia" w:hAnsiTheme="minorHAnsi" w:cstheme="minorBidi"/>
          <w:sz w:val="22"/>
          <w:szCs w:val="22"/>
        </w:rPr>
        <w:tab/>
      </w:r>
      <w:r>
        <w:t>6 – 78 Buckhurst Street (S63)</w:t>
      </w:r>
      <w:r>
        <w:tab/>
      </w:r>
      <w:r>
        <w:fldChar w:fldCharType="begin"/>
      </w:r>
      <w:r>
        <w:instrText xml:space="preserve"> PAGEREF _Toc519849286 \h </w:instrText>
      </w:r>
      <w:r>
        <w:fldChar w:fldCharType="separate"/>
      </w:r>
      <w:r w:rsidR="0028199F">
        <w:t>37</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8.5</w:t>
      </w:r>
      <w:r>
        <w:rPr>
          <w:rFonts w:asciiTheme="minorHAnsi" w:eastAsiaTheme="minorEastAsia" w:hAnsiTheme="minorHAnsi" w:cstheme="minorBidi"/>
          <w:sz w:val="22"/>
          <w:szCs w:val="22"/>
        </w:rPr>
        <w:tab/>
      </w:r>
      <w:r>
        <w:t>36 – 44 Gladstone Street (S67)</w:t>
      </w:r>
      <w:r>
        <w:tab/>
      </w:r>
      <w:r>
        <w:fldChar w:fldCharType="begin"/>
      </w:r>
      <w:r>
        <w:instrText xml:space="preserve"> PAGEREF _Toc519849287 \h </w:instrText>
      </w:r>
      <w:r>
        <w:fldChar w:fldCharType="separate"/>
      </w:r>
      <w:r w:rsidR="0028199F">
        <w:t>38</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8.6</w:t>
      </w:r>
      <w:r>
        <w:rPr>
          <w:rFonts w:asciiTheme="minorHAnsi" w:eastAsiaTheme="minorEastAsia" w:hAnsiTheme="minorHAnsi" w:cstheme="minorBidi"/>
          <w:sz w:val="22"/>
          <w:szCs w:val="22"/>
        </w:rPr>
        <w:tab/>
      </w:r>
      <w:r>
        <w:t>43 - 49, 51 – 65 Buckhurst Street et al (S83)</w:t>
      </w:r>
      <w:r>
        <w:tab/>
      </w:r>
      <w:r>
        <w:fldChar w:fldCharType="begin"/>
      </w:r>
      <w:r>
        <w:instrText xml:space="preserve"> PAGEREF _Toc519849288 \h </w:instrText>
      </w:r>
      <w:r>
        <w:fldChar w:fldCharType="separate"/>
      </w:r>
      <w:r w:rsidR="0028199F">
        <w:t>38</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8.7</w:t>
      </w:r>
      <w:r>
        <w:rPr>
          <w:rFonts w:asciiTheme="minorHAnsi" w:eastAsiaTheme="minorEastAsia" w:hAnsiTheme="minorHAnsi" w:cstheme="minorBidi"/>
          <w:sz w:val="22"/>
          <w:szCs w:val="22"/>
        </w:rPr>
        <w:tab/>
      </w:r>
      <w:r>
        <w:t>187 – 197 Normanby Road (S87) and others</w:t>
      </w:r>
      <w:r>
        <w:tab/>
      </w:r>
      <w:r>
        <w:fldChar w:fldCharType="begin"/>
      </w:r>
      <w:r>
        <w:instrText xml:space="preserve"> PAGEREF _Toc519849289 \h </w:instrText>
      </w:r>
      <w:r>
        <w:fldChar w:fldCharType="separate"/>
      </w:r>
      <w:r w:rsidR="0028199F">
        <w:t>38</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8.8</w:t>
      </w:r>
      <w:r>
        <w:rPr>
          <w:rFonts w:asciiTheme="minorHAnsi" w:eastAsiaTheme="minorEastAsia" w:hAnsiTheme="minorHAnsi" w:cstheme="minorBidi"/>
          <w:sz w:val="22"/>
          <w:szCs w:val="22"/>
        </w:rPr>
        <w:tab/>
      </w:r>
      <w:r>
        <w:t>2 – 28 Montague Street and 80 Munro Street (S90) and others</w:t>
      </w:r>
      <w:r>
        <w:tab/>
      </w:r>
      <w:r>
        <w:fldChar w:fldCharType="begin"/>
      </w:r>
      <w:r>
        <w:instrText xml:space="preserve"> PAGEREF _Toc519849290 \h </w:instrText>
      </w:r>
      <w:r>
        <w:fldChar w:fldCharType="separate"/>
      </w:r>
      <w:r w:rsidR="0028199F">
        <w:t>39</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8.9</w:t>
      </w:r>
      <w:r>
        <w:rPr>
          <w:rFonts w:asciiTheme="minorHAnsi" w:eastAsiaTheme="minorEastAsia" w:hAnsiTheme="minorHAnsi" w:cstheme="minorBidi"/>
          <w:sz w:val="22"/>
          <w:szCs w:val="22"/>
        </w:rPr>
        <w:tab/>
      </w:r>
      <w:r>
        <w:t>171 – 183 Ferrars Street (S93)</w:t>
      </w:r>
      <w:r>
        <w:tab/>
      </w:r>
      <w:r>
        <w:fldChar w:fldCharType="begin"/>
      </w:r>
      <w:r>
        <w:instrText xml:space="preserve"> PAGEREF _Toc519849291 \h </w:instrText>
      </w:r>
      <w:r>
        <w:fldChar w:fldCharType="separate"/>
      </w:r>
      <w:r w:rsidR="0028199F">
        <w:t>40</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8.10</w:t>
      </w:r>
      <w:r>
        <w:rPr>
          <w:rFonts w:asciiTheme="minorHAnsi" w:eastAsiaTheme="minorEastAsia" w:hAnsiTheme="minorHAnsi" w:cstheme="minorBidi"/>
          <w:sz w:val="22"/>
          <w:szCs w:val="22"/>
        </w:rPr>
        <w:tab/>
      </w:r>
      <w:r>
        <w:t>156 – 162 Thistlethwaite Street (S115)</w:t>
      </w:r>
      <w:r>
        <w:tab/>
      </w:r>
      <w:r>
        <w:fldChar w:fldCharType="begin"/>
      </w:r>
      <w:r>
        <w:instrText xml:space="preserve"> PAGEREF _Toc519849292 \h </w:instrText>
      </w:r>
      <w:r>
        <w:fldChar w:fldCharType="separate"/>
      </w:r>
      <w:r w:rsidR="0028199F">
        <w:t>40</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8.11</w:t>
      </w:r>
      <w:r>
        <w:rPr>
          <w:rFonts w:asciiTheme="minorHAnsi" w:eastAsiaTheme="minorEastAsia" w:hAnsiTheme="minorHAnsi" w:cstheme="minorBidi"/>
          <w:sz w:val="22"/>
          <w:szCs w:val="22"/>
        </w:rPr>
        <w:tab/>
      </w:r>
      <w:r>
        <w:t>176 – 188 Gladstone Street (S123)</w:t>
      </w:r>
      <w:r>
        <w:tab/>
      </w:r>
      <w:r>
        <w:fldChar w:fldCharType="begin"/>
      </w:r>
      <w:r>
        <w:instrText xml:space="preserve"> PAGEREF _Toc519849293 \h </w:instrText>
      </w:r>
      <w:r>
        <w:fldChar w:fldCharType="separate"/>
      </w:r>
      <w:r w:rsidR="0028199F">
        <w:t>40</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8.12</w:t>
      </w:r>
      <w:r>
        <w:rPr>
          <w:rFonts w:asciiTheme="minorHAnsi" w:eastAsiaTheme="minorEastAsia" w:hAnsiTheme="minorHAnsi" w:cstheme="minorBidi"/>
          <w:sz w:val="22"/>
          <w:szCs w:val="22"/>
        </w:rPr>
        <w:tab/>
      </w:r>
      <w:r>
        <w:t>245 – 251 Normanby Road (S135), 202-214 Normanby Road (S137)</w:t>
      </w:r>
      <w:r>
        <w:tab/>
      </w:r>
      <w:r>
        <w:fldChar w:fldCharType="begin"/>
      </w:r>
      <w:r>
        <w:instrText xml:space="preserve"> PAGEREF _Toc519849294 \h </w:instrText>
      </w:r>
      <w:r>
        <w:fldChar w:fldCharType="separate"/>
      </w:r>
      <w:r w:rsidR="0028199F">
        <w:t>41</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8.13</w:t>
      </w:r>
      <w:r>
        <w:rPr>
          <w:rFonts w:asciiTheme="minorHAnsi" w:eastAsiaTheme="minorEastAsia" w:hAnsiTheme="minorHAnsi" w:cstheme="minorBidi"/>
          <w:sz w:val="22"/>
          <w:szCs w:val="22"/>
        </w:rPr>
        <w:tab/>
      </w:r>
      <w:r>
        <w:t>400 – 430 City Road (S143)</w:t>
      </w:r>
      <w:r>
        <w:tab/>
      </w:r>
      <w:r>
        <w:fldChar w:fldCharType="begin"/>
      </w:r>
      <w:r>
        <w:instrText xml:space="preserve"> PAGEREF _Toc519849295 \h </w:instrText>
      </w:r>
      <w:r>
        <w:fldChar w:fldCharType="separate"/>
      </w:r>
      <w:r w:rsidR="0028199F">
        <w:t>41</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8.14</w:t>
      </w:r>
      <w:r>
        <w:rPr>
          <w:rFonts w:asciiTheme="minorHAnsi" w:eastAsiaTheme="minorEastAsia" w:hAnsiTheme="minorHAnsi" w:cstheme="minorBidi"/>
          <w:sz w:val="22"/>
          <w:szCs w:val="22"/>
        </w:rPr>
        <w:tab/>
      </w:r>
      <w:r>
        <w:t>11 – 27, 31 – 41 Buckhurst Street (S146)</w:t>
      </w:r>
      <w:r>
        <w:tab/>
      </w:r>
      <w:r>
        <w:fldChar w:fldCharType="begin"/>
      </w:r>
      <w:r>
        <w:instrText xml:space="preserve"> PAGEREF _Toc519849296 \h </w:instrText>
      </w:r>
      <w:r>
        <w:fldChar w:fldCharType="separate"/>
      </w:r>
      <w:r w:rsidR="0028199F">
        <w:t>41</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8.15</w:t>
      </w:r>
      <w:r>
        <w:rPr>
          <w:rFonts w:asciiTheme="minorHAnsi" w:eastAsiaTheme="minorEastAsia" w:hAnsiTheme="minorHAnsi" w:cstheme="minorBidi"/>
          <w:sz w:val="22"/>
          <w:szCs w:val="22"/>
        </w:rPr>
        <w:tab/>
      </w:r>
      <w:r>
        <w:t>37 – 47 Thistlethwaite Street (S156)</w:t>
      </w:r>
      <w:r>
        <w:tab/>
      </w:r>
      <w:r>
        <w:fldChar w:fldCharType="begin"/>
      </w:r>
      <w:r>
        <w:instrText xml:space="preserve"> PAGEREF _Toc519849297 \h </w:instrText>
      </w:r>
      <w:r>
        <w:fldChar w:fldCharType="separate"/>
      </w:r>
      <w:r w:rsidR="0028199F">
        <w:t>42</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8.16</w:t>
      </w:r>
      <w:r>
        <w:rPr>
          <w:rFonts w:asciiTheme="minorHAnsi" w:eastAsiaTheme="minorEastAsia" w:hAnsiTheme="minorHAnsi" w:cstheme="minorBidi"/>
          <w:sz w:val="22"/>
          <w:szCs w:val="22"/>
        </w:rPr>
        <w:tab/>
      </w:r>
      <w:r>
        <w:t>189 – 191 Ferrars Street (S164)</w:t>
      </w:r>
      <w:r>
        <w:tab/>
      </w:r>
      <w:r>
        <w:fldChar w:fldCharType="begin"/>
      </w:r>
      <w:r>
        <w:instrText xml:space="preserve"> PAGEREF _Toc519849298 \h </w:instrText>
      </w:r>
      <w:r>
        <w:fldChar w:fldCharType="separate"/>
      </w:r>
      <w:r w:rsidR="0028199F">
        <w:t>42</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8.17</w:t>
      </w:r>
      <w:r>
        <w:rPr>
          <w:rFonts w:asciiTheme="minorHAnsi" w:eastAsiaTheme="minorEastAsia" w:hAnsiTheme="minorHAnsi" w:cstheme="minorBidi"/>
          <w:sz w:val="22"/>
          <w:szCs w:val="22"/>
        </w:rPr>
        <w:tab/>
      </w:r>
      <w:r>
        <w:t>253 – 273 Normanby Road (S185)</w:t>
      </w:r>
      <w:r>
        <w:tab/>
      </w:r>
      <w:r>
        <w:fldChar w:fldCharType="begin"/>
      </w:r>
      <w:r>
        <w:instrText xml:space="preserve"> PAGEREF _Toc519849299 \h </w:instrText>
      </w:r>
      <w:r>
        <w:fldChar w:fldCharType="separate"/>
      </w:r>
      <w:r w:rsidR="0028199F">
        <w:t>42</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8.18</w:t>
      </w:r>
      <w:r>
        <w:rPr>
          <w:rFonts w:asciiTheme="minorHAnsi" w:eastAsiaTheme="minorEastAsia" w:hAnsiTheme="minorHAnsi" w:cstheme="minorBidi"/>
          <w:sz w:val="22"/>
          <w:szCs w:val="22"/>
        </w:rPr>
        <w:tab/>
      </w:r>
      <w:r>
        <w:t>199 – 201 Normanby Road (S186)</w:t>
      </w:r>
      <w:r>
        <w:tab/>
      </w:r>
      <w:r>
        <w:fldChar w:fldCharType="begin"/>
      </w:r>
      <w:r>
        <w:instrText xml:space="preserve"> PAGEREF _Toc519849300 \h </w:instrText>
      </w:r>
      <w:r>
        <w:fldChar w:fldCharType="separate"/>
      </w:r>
      <w:r w:rsidR="0028199F">
        <w:t>42</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8.19</w:t>
      </w:r>
      <w:r>
        <w:rPr>
          <w:rFonts w:asciiTheme="minorHAnsi" w:eastAsiaTheme="minorEastAsia" w:hAnsiTheme="minorHAnsi" w:cstheme="minorBidi"/>
          <w:sz w:val="22"/>
          <w:szCs w:val="22"/>
        </w:rPr>
        <w:tab/>
      </w:r>
      <w:r>
        <w:t>179 – 185 Normanby Road (S200)</w:t>
      </w:r>
      <w:r>
        <w:tab/>
      </w:r>
      <w:r>
        <w:fldChar w:fldCharType="begin"/>
      </w:r>
      <w:r>
        <w:instrText xml:space="preserve"> PAGEREF _Toc519849301 \h </w:instrText>
      </w:r>
      <w:r>
        <w:fldChar w:fldCharType="separate"/>
      </w:r>
      <w:r w:rsidR="0028199F">
        <w:t>43</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8.20</w:t>
      </w:r>
      <w:r>
        <w:rPr>
          <w:rFonts w:asciiTheme="minorHAnsi" w:eastAsiaTheme="minorEastAsia" w:hAnsiTheme="minorHAnsi" w:cstheme="minorBidi"/>
          <w:sz w:val="22"/>
          <w:szCs w:val="22"/>
        </w:rPr>
        <w:tab/>
      </w:r>
      <w:r>
        <w:t>168 – 172 Gladstone Street (S201)</w:t>
      </w:r>
      <w:r>
        <w:tab/>
      </w:r>
      <w:r>
        <w:fldChar w:fldCharType="begin"/>
      </w:r>
      <w:r>
        <w:instrText xml:space="preserve"> PAGEREF _Toc519849302 \h </w:instrText>
      </w:r>
      <w:r>
        <w:fldChar w:fldCharType="separate"/>
      </w:r>
      <w:r w:rsidR="0028199F">
        <w:t>43</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8.21</w:t>
      </w:r>
      <w:r>
        <w:rPr>
          <w:rFonts w:asciiTheme="minorHAnsi" w:eastAsiaTheme="minorEastAsia" w:hAnsiTheme="minorHAnsi" w:cstheme="minorBidi"/>
          <w:sz w:val="22"/>
          <w:szCs w:val="22"/>
        </w:rPr>
        <w:tab/>
      </w:r>
      <w:r>
        <w:t>272 Normanby Road (S202)</w:t>
      </w:r>
      <w:r>
        <w:tab/>
      </w:r>
      <w:r>
        <w:fldChar w:fldCharType="begin"/>
      </w:r>
      <w:r>
        <w:instrText xml:space="preserve"> PAGEREF _Toc519849303 \h </w:instrText>
      </w:r>
      <w:r>
        <w:fldChar w:fldCharType="separate"/>
      </w:r>
      <w:r w:rsidR="0028199F">
        <w:t>43</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8.22</w:t>
      </w:r>
      <w:r>
        <w:rPr>
          <w:rFonts w:asciiTheme="minorHAnsi" w:eastAsiaTheme="minorEastAsia" w:hAnsiTheme="minorHAnsi" w:cstheme="minorBidi"/>
          <w:sz w:val="22"/>
          <w:szCs w:val="22"/>
        </w:rPr>
        <w:tab/>
      </w:r>
      <w:r>
        <w:t>28 Thistlethwaite Street (S237)</w:t>
      </w:r>
      <w:r>
        <w:tab/>
      </w:r>
      <w:r>
        <w:fldChar w:fldCharType="begin"/>
      </w:r>
      <w:r>
        <w:instrText xml:space="preserve"> PAGEREF _Toc519849304 \h </w:instrText>
      </w:r>
      <w:r>
        <w:fldChar w:fldCharType="separate"/>
      </w:r>
      <w:r w:rsidR="0028199F">
        <w:t>43</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8.23</w:t>
      </w:r>
      <w:r>
        <w:rPr>
          <w:rFonts w:asciiTheme="minorHAnsi" w:eastAsiaTheme="minorEastAsia" w:hAnsiTheme="minorHAnsi" w:cstheme="minorBidi"/>
          <w:sz w:val="22"/>
          <w:szCs w:val="22"/>
        </w:rPr>
        <w:tab/>
      </w:r>
      <w:r>
        <w:t>121 – 123 Ferrars Street (S244), 111 Ferrars Street (S249)</w:t>
      </w:r>
      <w:r>
        <w:tab/>
      </w:r>
      <w:r>
        <w:fldChar w:fldCharType="begin"/>
      </w:r>
      <w:r>
        <w:instrText xml:space="preserve"> PAGEREF _Toc519849305 \h </w:instrText>
      </w:r>
      <w:r>
        <w:fldChar w:fldCharType="separate"/>
      </w:r>
      <w:r w:rsidR="0028199F">
        <w:t>43</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8.24</w:t>
      </w:r>
      <w:r>
        <w:rPr>
          <w:rFonts w:asciiTheme="minorHAnsi" w:eastAsiaTheme="minorEastAsia" w:hAnsiTheme="minorHAnsi" w:cstheme="minorBidi"/>
          <w:sz w:val="22"/>
          <w:szCs w:val="22"/>
        </w:rPr>
        <w:tab/>
      </w:r>
      <w:r>
        <w:t>87 Gladstone Street (S252)</w:t>
      </w:r>
      <w:r>
        <w:tab/>
      </w:r>
      <w:r>
        <w:fldChar w:fldCharType="begin"/>
      </w:r>
      <w:r>
        <w:instrText xml:space="preserve"> PAGEREF _Toc519849306 \h </w:instrText>
      </w:r>
      <w:r>
        <w:fldChar w:fldCharType="separate"/>
      </w:r>
      <w:r w:rsidR="0028199F">
        <w:t>44</w:t>
      </w:r>
      <w:r>
        <w:fldChar w:fldCharType="end"/>
      </w:r>
    </w:p>
    <w:p w:rsidR="00475913" w:rsidRDefault="00475913">
      <w:pPr>
        <w:pStyle w:val="TOC2"/>
        <w:rPr>
          <w:rFonts w:asciiTheme="minorHAnsi" w:eastAsiaTheme="minorEastAsia" w:hAnsiTheme="minorHAnsi" w:cstheme="minorBidi"/>
          <w:sz w:val="22"/>
          <w:szCs w:val="22"/>
        </w:rPr>
      </w:pPr>
      <w:r w:rsidRPr="00782B7C">
        <w:rPr>
          <w:color w:val="000000"/>
        </w:rPr>
        <w:t>8.25</w:t>
      </w:r>
      <w:r>
        <w:rPr>
          <w:rFonts w:asciiTheme="minorHAnsi" w:eastAsiaTheme="minorEastAsia" w:hAnsiTheme="minorHAnsi" w:cstheme="minorBidi"/>
          <w:sz w:val="22"/>
          <w:szCs w:val="22"/>
        </w:rPr>
        <w:tab/>
      </w:r>
      <w:r>
        <w:t>Conclusion of site specific issues</w:t>
      </w:r>
      <w:r>
        <w:tab/>
      </w:r>
      <w:r>
        <w:fldChar w:fldCharType="begin"/>
      </w:r>
      <w:r>
        <w:instrText xml:space="preserve"> PAGEREF _Toc519849307 \h </w:instrText>
      </w:r>
      <w:r>
        <w:fldChar w:fldCharType="separate"/>
      </w:r>
      <w:r w:rsidR="0028199F">
        <w:t>44</w:t>
      </w:r>
      <w:r>
        <w:fldChar w:fldCharType="end"/>
      </w:r>
    </w:p>
    <w:p w:rsidR="00475913" w:rsidRDefault="000E7757">
      <w:pPr>
        <w:pStyle w:val="TOC1"/>
        <w:tabs>
          <w:tab w:val="left" w:pos="1560"/>
        </w:tabs>
      </w:pPr>
      <w:r>
        <w:rPr>
          <w:b w:val="0"/>
          <w:color w:val="1F497D"/>
        </w:rPr>
        <w:fldChar w:fldCharType="end"/>
      </w:r>
      <w:r w:rsidRPr="007974D0">
        <w:rPr>
          <w:b w:val="0"/>
        </w:rPr>
        <w:fldChar w:fldCharType="begin"/>
      </w:r>
      <w:r w:rsidR="00223FC9" w:rsidRPr="007974D0">
        <w:instrText xml:space="preserve"> TOC \n \h \z \t "PPV Appendix Heading 1,1" </w:instrText>
      </w:r>
      <w:r w:rsidRPr="007974D0">
        <w:rPr>
          <w:b w:val="0"/>
        </w:rPr>
        <w:fldChar w:fldCharType="separate"/>
      </w:r>
    </w:p>
    <w:p w:rsidR="00475913" w:rsidRDefault="0028199F">
      <w:pPr>
        <w:pStyle w:val="TOC1"/>
        <w:tabs>
          <w:tab w:val="left" w:pos="1560"/>
        </w:tabs>
        <w:rPr>
          <w:rFonts w:asciiTheme="minorHAnsi" w:eastAsiaTheme="minorEastAsia" w:hAnsiTheme="minorHAnsi" w:cstheme="minorBidi"/>
          <w:b w:val="0"/>
          <w:sz w:val="22"/>
          <w:szCs w:val="22"/>
        </w:rPr>
      </w:pPr>
      <w:hyperlink w:anchor="_Toc519849308" w:history="1">
        <w:r w:rsidR="00475913" w:rsidRPr="009E718C">
          <w:rPr>
            <w:rStyle w:val="Hyperlink"/>
          </w:rPr>
          <w:t>Appendix A</w:t>
        </w:r>
        <w:r w:rsidR="00475913">
          <w:rPr>
            <w:rFonts w:asciiTheme="minorHAnsi" w:eastAsiaTheme="minorEastAsia" w:hAnsiTheme="minorHAnsi" w:cstheme="minorBidi"/>
            <w:b w:val="0"/>
            <w:sz w:val="22"/>
            <w:szCs w:val="22"/>
          </w:rPr>
          <w:tab/>
        </w:r>
        <w:r w:rsidR="00475913" w:rsidRPr="009E718C">
          <w:rPr>
            <w:rStyle w:val="Hyperlink"/>
          </w:rPr>
          <w:t>Document list</w:t>
        </w:r>
      </w:hyperlink>
    </w:p>
    <w:p w:rsidR="00BE2F28" w:rsidRPr="00BE2F28" w:rsidRDefault="000E7757" w:rsidP="00681DCE">
      <w:pPr>
        <w:pStyle w:val="ZZPPVContentsPage"/>
        <w:rPr>
          <w:color w:val="auto"/>
          <w:sz w:val="24"/>
          <w:szCs w:val="24"/>
        </w:rPr>
      </w:pPr>
      <w:r w:rsidRPr="007974D0">
        <w:rPr>
          <w:color w:val="auto"/>
        </w:rPr>
        <w:fldChar w:fldCharType="end"/>
      </w:r>
      <w:bookmarkStart w:id="8" w:name="_Toc212009244"/>
      <w:bookmarkStart w:id="9" w:name="_Toc105479961"/>
    </w:p>
    <w:p w:rsidR="00BE2F28" w:rsidRDefault="00BE2F28">
      <w:pPr>
        <w:spacing w:before="0"/>
        <w:jc w:val="left"/>
        <w:rPr>
          <w:b/>
          <w:sz w:val="40"/>
          <w:szCs w:val="52"/>
        </w:rPr>
      </w:pPr>
      <w:r>
        <w:br w:type="page"/>
      </w:r>
    </w:p>
    <w:p w:rsidR="00810795" w:rsidRPr="007974D0" w:rsidRDefault="00810795" w:rsidP="00681DCE">
      <w:pPr>
        <w:pStyle w:val="ZZPPVContentsPage"/>
        <w:rPr>
          <w:color w:val="auto"/>
          <w:sz w:val="24"/>
          <w:szCs w:val="24"/>
        </w:rPr>
      </w:pPr>
    </w:p>
    <w:p w:rsidR="007C7956" w:rsidRPr="005D5117" w:rsidRDefault="007C7956" w:rsidP="00681DCE">
      <w:pPr>
        <w:pStyle w:val="ZZPPVContentsPage"/>
        <w:rPr>
          <w:color w:val="auto"/>
          <w:sz w:val="32"/>
          <w:szCs w:val="32"/>
        </w:rPr>
      </w:pPr>
      <w:r w:rsidRPr="005D5117">
        <w:rPr>
          <w:color w:val="auto"/>
          <w:sz w:val="32"/>
          <w:szCs w:val="32"/>
        </w:rPr>
        <w:t>List of Tables</w:t>
      </w:r>
    </w:p>
    <w:p w:rsidR="00D01D43" w:rsidRDefault="007C7956" w:rsidP="00FD5693">
      <w:pPr>
        <w:pStyle w:val="ZZPPVContentsPageNo"/>
        <w:spacing w:before="0"/>
      </w:pPr>
      <w:r w:rsidRPr="00604382">
        <w:tab/>
      </w:r>
      <w:r w:rsidRPr="005D5117">
        <w:rPr>
          <w:color w:val="000000" w:themeColor="text1"/>
        </w:rPr>
        <w:t>Page</w:t>
      </w:r>
      <w:r w:rsidR="00FD5693" w:rsidRPr="005D5117">
        <w:rPr>
          <w:rStyle w:val="PPVBodyChar"/>
          <w:rFonts w:eastAsia="Dotum"/>
          <w:b w:val="0"/>
          <w:color w:val="000000" w:themeColor="text1"/>
        </w:rPr>
        <w:fldChar w:fldCharType="begin"/>
      </w:r>
      <w:r w:rsidR="00FD5693" w:rsidRPr="005D5117">
        <w:rPr>
          <w:rStyle w:val="PPVBodyChar"/>
          <w:rFonts w:eastAsia="Dotum"/>
          <w:b w:val="0"/>
          <w:color w:val="000000" w:themeColor="text1"/>
        </w:rPr>
        <w:instrText xml:space="preserve"> TOC \h \z \c "Table" </w:instrText>
      </w:r>
      <w:r w:rsidR="00FD5693" w:rsidRPr="005D5117">
        <w:rPr>
          <w:rStyle w:val="PPVBodyChar"/>
          <w:rFonts w:eastAsia="Dotum"/>
          <w:b w:val="0"/>
          <w:color w:val="000000" w:themeColor="text1"/>
        </w:rPr>
        <w:fldChar w:fldCharType="separate"/>
      </w:r>
    </w:p>
    <w:p w:rsidR="00D01D43" w:rsidRDefault="0028199F">
      <w:pPr>
        <w:pStyle w:val="TableofFigures"/>
        <w:rPr>
          <w:rFonts w:asciiTheme="minorHAnsi" w:eastAsiaTheme="minorEastAsia" w:hAnsiTheme="minorHAnsi" w:cstheme="minorBidi"/>
          <w:sz w:val="22"/>
          <w:szCs w:val="22"/>
        </w:rPr>
      </w:pPr>
      <w:hyperlink w:anchor="_Toc519841828" w:history="1">
        <w:r w:rsidR="00D01D43" w:rsidRPr="00257C20">
          <w:rPr>
            <w:rStyle w:val="Hyperlink"/>
            <w:rFonts w:eastAsia="Dotum"/>
          </w:rPr>
          <w:t>Table 1:</w:t>
        </w:r>
        <w:r w:rsidR="00D01D43">
          <w:rPr>
            <w:rFonts w:asciiTheme="minorHAnsi" w:eastAsiaTheme="minorEastAsia" w:hAnsiTheme="minorHAnsi" w:cstheme="minorBidi"/>
            <w:sz w:val="22"/>
            <w:szCs w:val="22"/>
          </w:rPr>
          <w:tab/>
        </w:r>
        <w:r w:rsidR="00D01D43" w:rsidRPr="00257C20">
          <w:rPr>
            <w:rStyle w:val="Hyperlink"/>
            <w:rFonts w:eastAsia="Dotum"/>
          </w:rPr>
          <w:t>Interim built form controls (GC50)</w:t>
        </w:r>
        <w:r w:rsidR="00D01D43">
          <w:rPr>
            <w:webHidden/>
          </w:rPr>
          <w:tab/>
        </w:r>
        <w:r w:rsidR="00D01D43">
          <w:rPr>
            <w:webHidden/>
          </w:rPr>
          <w:fldChar w:fldCharType="begin"/>
        </w:r>
        <w:r w:rsidR="00D01D43">
          <w:rPr>
            <w:webHidden/>
          </w:rPr>
          <w:instrText xml:space="preserve"> PAGEREF _Toc519841828 \h </w:instrText>
        </w:r>
        <w:r w:rsidR="00D01D43">
          <w:rPr>
            <w:webHidden/>
          </w:rPr>
        </w:r>
        <w:r w:rsidR="00D01D43">
          <w:rPr>
            <w:webHidden/>
          </w:rPr>
          <w:fldChar w:fldCharType="separate"/>
        </w:r>
        <w:r>
          <w:rPr>
            <w:webHidden/>
          </w:rPr>
          <w:t>2</w:t>
        </w:r>
        <w:r w:rsidR="00D01D43">
          <w:rPr>
            <w:webHidden/>
          </w:rPr>
          <w:fldChar w:fldCharType="end"/>
        </w:r>
      </w:hyperlink>
    </w:p>
    <w:p w:rsidR="00D01D43" w:rsidRDefault="0028199F">
      <w:pPr>
        <w:pStyle w:val="TableofFigures"/>
        <w:rPr>
          <w:rFonts w:asciiTheme="minorHAnsi" w:eastAsiaTheme="minorEastAsia" w:hAnsiTheme="minorHAnsi" w:cstheme="minorBidi"/>
          <w:sz w:val="22"/>
          <w:szCs w:val="22"/>
        </w:rPr>
      </w:pPr>
      <w:hyperlink w:anchor="_Toc519841829" w:history="1">
        <w:r w:rsidR="00D01D43" w:rsidRPr="00257C20">
          <w:rPr>
            <w:rStyle w:val="Hyperlink"/>
            <w:rFonts w:eastAsia="Dotum"/>
          </w:rPr>
          <w:t>Table 2:</w:t>
        </w:r>
        <w:r w:rsidR="00D01D43">
          <w:rPr>
            <w:rFonts w:asciiTheme="minorHAnsi" w:eastAsiaTheme="minorEastAsia" w:hAnsiTheme="minorHAnsi" w:cstheme="minorBidi"/>
            <w:sz w:val="22"/>
            <w:szCs w:val="22"/>
          </w:rPr>
          <w:tab/>
        </w:r>
        <w:r w:rsidR="00D01D43" w:rsidRPr="00257C20">
          <w:rPr>
            <w:rStyle w:val="Hyperlink"/>
            <w:rFonts w:eastAsia="Dotum"/>
          </w:rPr>
          <w:t>Existing Permits</w:t>
        </w:r>
        <w:r w:rsidR="00D01D43">
          <w:rPr>
            <w:webHidden/>
          </w:rPr>
          <w:tab/>
        </w:r>
        <w:r w:rsidR="00D01D43">
          <w:rPr>
            <w:webHidden/>
          </w:rPr>
          <w:fldChar w:fldCharType="begin"/>
        </w:r>
        <w:r w:rsidR="00D01D43">
          <w:rPr>
            <w:webHidden/>
          </w:rPr>
          <w:instrText xml:space="preserve"> PAGEREF _Toc519841829 \h </w:instrText>
        </w:r>
        <w:r w:rsidR="00D01D43">
          <w:rPr>
            <w:webHidden/>
          </w:rPr>
        </w:r>
        <w:r w:rsidR="00D01D43">
          <w:rPr>
            <w:webHidden/>
          </w:rPr>
          <w:fldChar w:fldCharType="separate"/>
        </w:r>
        <w:r>
          <w:rPr>
            <w:webHidden/>
          </w:rPr>
          <w:t>3</w:t>
        </w:r>
        <w:r w:rsidR="00D01D43">
          <w:rPr>
            <w:webHidden/>
          </w:rPr>
          <w:fldChar w:fldCharType="end"/>
        </w:r>
      </w:hyperlink>
    </w:p>
    <w:p w:rsidR="00D01D43" w:rsidRDefault="0028199F">
      <w:pPr>
        <w:pStyle w:val="TableofFigures"/>
        <w:rPr>
          <w:rFonts w:asciiTheme="minorHAnsi" w:eastAsiaTheme="minorEastAsia" w:hAnsiTheme="minorHAnsi" w:cstheme="minorBidi"/>
          <w:sz w:val="22"/>
          <w:szCs w:val="22"/>
        </w:rPr>
      </w:pPr>
      <w:hyperlink w:anchor="_Toc519841830" w:history="1">
        <w:r w:rsidR="00D01D43" w:rsidRPr="00257C20">
          <w:rPr>
            <w:rStyle w:val="Hyperlink"/>
            <w:rFonts w:eastAsia="Dotum"/>
          </w:rPr>
          <w:t>Table 3:</w:t>
        </w:r>
        <w:r w:rsidR="00D01D43">
          <w:rPr>
            <w:rFonts w:asciiTheme="minorHAnsi" w:eastAsiaTheme="minorEastAsia" w:hAnsiTheme="minorHAnsi" w:cstheme="minorBidi"/>
            <w:sz w:val="22"/>
            <w:szCs w:val="22"/>
          </w:rPr>
          <w:tab/>
        </w:r>
        <w:r w:rsidR="00D01D43" w:rsidRPr="00257C20">
          <w:rPr>
            <w:rStyle w:val="Hyperlink"/>
            <w:rFonts w:eastAsia="Dotum"/>
          </w:rPr>
          <w:t>Permit Applications</w:t>
        </w:r>
        <w:r w:rsidR="00D01D43">
          <w:rPr>
            <w:webHidden/>
          </w:rPr>
          <w:tab/>
        </w:r>
        <w:r w:rsidR="00D01D43">
          <w:rPr>
            <w:webHidden/>
          </w:rPr>
          <w:fldChar w:fldCharType="begin"/>
        </w:r>
        <w:r w:rsidR="00D01D43">
          <w:rPr>
            <w:webHidden/>
          </w:rPr>
          <w:instrText xml:space="preserve"> PAGEREF _Toc519841830 \h </w:instrText>
        </w:r>
        <w:r w:rsidR="00D01D43">
          <w:rPr>
            <w:webHidden/>
          </w:rPr>
        </w:r>
        <w:r w:rsidR="00D01D43">
          <w:rPr>
            <w:webHidden/>
          </w:rPr>
          <w:fldChar w:fldCharType="separate"/>
        </w:r>
        <w:r>
          <w:rPr>
            <w:webHidden/>
          </w:rPr>
          <w:t>3</w:t>
        </w:r>
        <w:r w:rsidR="00D01D43">
          <w:rPr>
            <w:webHidden/>
          </w:rPr>
          <w:fldChar w:fldCharType="end"/>
        </w:r>
      </w:hyperlink>
    </w:p>
    <w:p w:rsidR="007C7956" w:rsidRPr="000A4033" w:rsidRDefault="00FD5693" w:rsidP="00FD5693">
      <w:pPr>
        <w:pStyle w:val="ZZPPVContentsPageNo"/>
        <w:spacing w:before="0"/>
      </w:pPr>
      <w:r w:rsidRPr="005D5117">
        <w:rPr>
          <w:rStyle w:val="PPVBodyChar"/>
          <w:rFonts w:eastAsia="Dotum"/>
          <w:b w:val="0"/>
          <w:color w:val="000000" w:themeColor="text1"/>
        </w:rPr>
        <w:fldChar w:fldCharType="end"/>
      </w:r>
    </w:p>
    <w:p w:rsidR="00607994" w:rsidRPr="005D5117" w:rsidRDefault="007C7956" w:rsidP="00681DCE">
      <w:pPr>
        <w:pStyle w:val="ZZPPVContentsPage"/>
        <w:rPr>
          <w:color w:val="auto"/>
          <w:sz w:val="32"/>
          <w:szCs w:val="32"/>
        </w:rPr>
      </w:pPr>
      <w:r w:rsidRPr="005D5117">
        <w:rPr>
          <w:color w:val="auto"/>
          <w:sz w:val="32"/>
          <w:szCs w:val="32"/>
        </w:rPr>
        <w:t>List of Figures</w:t>
      </w:r>
    </w:p>
    <w:p w:rsidR="00E4734B" w:rsidRPr="005D5117" w:rsidRDefault="00E4734B" w:rsidP="00154B75">
      <w:pPr>
        <w:pStyle w:val="ZZPPVContentsPageNo"/>
        <w:spacing w:before="0"/>
        <w:rPr>
          <w:color w:val="000000" w:themeColor="text1"/>
        </w:rPr>
      </w:pPr>
      <w:r w:rsidRPr="004C79B9">
        <w:tab/>
      </w:r>
      <w:r w:rsidRPr="005D5117">
        <w:rPr>
          <w:color w:val="000000" w:themeColor="text1"/>
        </w:rPr>
        <w:t>Page</w:t>
      </w:r>
    </w:p>
    <w:p w:rsidR="003E27EC" w:rsidRDefault="00263B06">
      <w:pPr>
        <w:pStyle w:val="TableofFigures"/>
        <w:rPr>
          <w:rFonts w:asciiTheme="minorHAnsi" w:eastAsiaTheme="minorEastAsia" w:hAnsiTheme="minorHAnsi" w:cstheme="minorBidi"/>
          <w:sz w:val="22"/>
          <w:szCs w:val="22"/>
        </w:rPr>
      </w:pPr>
      <w:r>
        <w:rPr>
          <w:rStyle w:val="PPVBodyChar"/>
          <w:rFonts w:eastAsia="Dotum"/>
        </w:rPr>
        <w:fldChar w:fldCharType="begin"/>
      </w:r>
      <w:r>
        <w:rPr>
          <w:rStyle w:val="PPVBodyChar"/>
          <w:rFonts w:eastAsia="Dotum"/>
        </w:rPr>
        <w:instrText xml:space="preserve"> TOC \h \z \c "Figure" </w:instrText>
      </w:r>
      <w:r>
        <w:rPr>
          <w:rStyle w:val="PPVBodyChar"/>
          <w:rFonts w:eastAsia="Dotum"/>
        </w:rPr>
        <w:fldChar w:fldCharType="separate"/>
      </w:r>
      <w:hyperlink w:anchor="_Toc518994442" w:history="1">
        <w:r w:rsidR="003E27EC" w:rsidRPr="00917779">
          <w:rPr>
            <w:rStyle w:val="Hyperlink"/>
            <w:rFonts w:eastAsia="Dotum"/>
          </w:rPr>
          <w:t>Figure 1</w:t>
        </w:r>
        <w:r w:rsidR="0059425F">
          <w:rPr>
            <w:rStyle w:val="Hyperlink"/>
            <w:rFonts w:eastAsia="Dotum"/>
          </w:rPr>
          <w:t>:</w:t>
        </w:r>
        <w:r w:rsidR="003E27EC">
          <w:rPr>
            <w:rFonts w:asciiTheme="minorHAnsi" w:eastAsiaTheme="minorEastAsia" w:hAnsiTheme="minorHAnsi" w:cstheme="minorBidi"/>
            <w:sz w:val="22"/>
            <w:szCs w:val="22"/>
          </w:rPr>
          <w:tab/>
        </w:r>
        <w:r w:rsidR="003E27EC" w:rsidRPr="00917779">
          <w:rPr>
            <w:rStyle w:val="Hyperlink"/>
            <w:rFonts w:eastAsia="Dotum"/>
          </w:rPr>
          <w:t>The subject land</w:t>
        </w:r>
        <w:r w:rsidR="003E27EC">
          <w:rPr>
            <w:webHidden/>
          </w:rPr>
          <w:tab/>
        </w:r>
        <w:r w:rsidR="003E27EC">
          <w:rPr>
            <w:webHidden/>
          </w:rPr>
          <w:fldChar w:fldCharType="begin"/>
        </w:r>
        <w:r w:rsidR="003E27EC">
          <w:rPr>
            <w:webHidden/>
          </w:rPr>
          <w:instrText xml:space="preserve"> PAGEREF _Toc518994442 \h </w:instrText>
        </w:r>
        <w:r w:rsidR="003E27EC">
          <w:rPr>
            <w:webHidden/>
          </w:rPr>
        </w:r>
        <w:r w:rsidR="003E27EC">
          <w:rPr>
            <w:webHidden/>
          </w:rPr>
          <w:fldChar w:fldCharType="separate"/>
        </w:r>
        <w:r w:rsidR="0028199F">
          <w:rPr>
            <w:webHidden/>
          </w:rPr>
          <w:t>1</w:t>
        </w:r>
        <w:r w:rsidR="003E27EC">
          <w:rPr>
            <w:webHidden/>
          </w:rPr>
          <w:fldChar w:fldCharType="end"/>
        </w:r>
      </w:hyperlink>
    </w:p>
    <w:p w:rsidR="003E27EC" w:rsidRDefault="0028199F">
      <w:pPr>
        <w:pStyle w:val="TableofFigures"/>
        <w:rPr>
          <w:rFonts w:asciiTheme="minorHAnsi" w:eastAsiaTheme="minorEastAsia" w:hAnsiTheme="minorHAnsi" w:cstheme="minorBidi"/>
          <w:sz w:val="22"/>
          <w:szCs w:val="22"/>
        </w:rPr>
      </w:pPr>
      <w:hyperlink w:anchor="_Toc518994443" w:history="1">
        <w:r w:rsidR="003E27EC" w:rsidRPr="00917779">
          <w:rPr>
            <w:rStyle w:val="Hyperlink"/>
            <w:rFonts w:eastAsia="Dotum"/>
          </w:rPr>
          <w:t xml:space="preserve">Figure 2: </w:t>
        </w:r>
        <w:r w:rsidR="003E27EC">
          <w:rPr>
            <w:rFonts w:asciiTheme="minorHAnsi" w:eastAsiaTheme="minorEastAsia" w:hAnsiTheme="minorHAnsi" w:cstheme="minorBidi"/>
            <w:sz w:val="22"/>
            <w:szCs w:val="22"/>
          </w:rPr>
          <w:tab/>
        </w:r>
        <w:r w:rsidR="003E27EC" w:rsidRPr="00917779">
          <w:rPr>
            <w:rStyle w:val="Hyperlink"/>
            <w:rFonts w:eastAsia="Dotum"/>
          </w:rPr>
          <w:t>Design and Development Overlay, Schedule 30</w:t>
        </w:r>
        <w:r w:rsidR="003E27EC">
          <w:rPr>
            <w:webHidden/>
          </w:rPr>
          <w:tab/>
        </w:r>
        <w:r w:rsidR="003E27EC">
          <w:rPr>
            <w:webHidden/>
          </w:rPr>
          <w:fldChar w:fldCharType="begin"/>
        </w:r>
        <w:r w:rsidR="003E27EC">
          <w:rPr>
            <w:webHidden/>
          </w:rPr>
          <w:instrText xml:space="preserve"> PAGEREF _Toc518994443 \h </w:instrText>
        </w:r>
        <w:r w:rsidR="003E27EC">
          <w:rPr>
            <w:webHidden/>
          </w:rPr>
        </w:r>
        <w:r w:rsidR="003E27EC">
          <w:rPr>
            <w:webHidden/>
          </w:rPr>
          <w:fldChar w:fldCharType="separate"/>
        </w:r>
        <w:r>
          <w:rPr>
            <w:webHidden/>
          </w:rPr>
          <w:t>2</w:t>
        </w:r>
        <w:r w:rsidR="003E27EC">
          <w:rPr>
            <w:webHidden/>
          </w:rPr>
          <w:fldChar w:fldCharType="end"/>
        </w:r>
      </w:hyperlink>
    </w:p>
    <w:p w:rsidR="003E27EC" w:rsidRDefault="0028199F">
      <w:pPr>
        <w:pStyle w:val="TableofFigures"/>
        <w:rPr>
          <w:rFonts w:asciiTheme="minorHAnsi" w:eastAsiaTheme="minorEastAsia" w:hAnsiTheme="minorHAnsi" w:cstheme="minorBidi"/>
          <w:sz w:val="22"/>
          <w:szCs w:val="22"/>
        </w:rPr>
      </w:pPr>
      <w:hyperlink w:anchor="_Toc518994444" w:history="1">
        <w:r w:rsidR="003E27EC" w:rsidRPr="00917779">
          <w:rPr>
            <w:rStyle w:val="Hyperlink"/>
            <w:rFonts w:eastAsia="Dotum"/>
          </w:rPr>
          <w:t>Figure 3</w:t>
        </w:r>
        <w:r w:rsidR="0059425F">
          <w:rPr>
            <w:rStyle w:val="Hyperlink"/>
            <w:rFonts w:eastAsia="Dotum"/>
          </w:rPr>
          <w:t>:</w:t>
        </w:r>
        <w:r w:rsidR="003E27EC">
          <w:rPr>
            <w:rFonts w:asciiTheme="minorHAnsi" w:eastAsiaTheme="minorEastAsia" w:hAnsiTheme="minorHAnsi" w:cstheme="minorBidi"/>
            <w:sz w:val="22"/>
            <w:szCs w:val="22"/>
          </w:rPr>
          <w:tab/>
        </w:r>
        <w:r w:rsidR="003E27EC" w:rsidRPr="00917779">
          <w:rPr>
            <w:rStyle w:val="Hyperlink"/>
            <w:rFonts w:eastAsia="Dotum"/>
          </w:rPr>
          <w:t>Proposed building heights in Montague</w:t>
        </w:r>
        <w:r w:rsidR="003E27EC">
          <w:rPr>
            <w:webHidden/>
          </w:rPr>
          <w:tab/>
        </w:r>
        <w:r w:rsidR="003E27EC">
          <w:rPr>
            <w:webHidden/>
          </w:rPr>
          <w:fldChar w:fldCharType="begin"/>
        </w:r>
        <w:r w:rsidR="003E27EC">
          <w:rPr>
            <w:webHidden/>
          </w:rPr>
          <w:instrText xml:space="preserve"> PAGEREF _Toc518994444 \h </w:instrText>
        </w:r>
        <w:r w:rsidR="003E27EC">
          <w:rPr>
            <w:webHidden/>
          </w:rPr>
        </w:r>
        <w:r w:rsidR="003E27EC">
          <w:rPr>
            <w:webHidden/>
          </w:rPr>
          <w:fldChar w:fldCharType="separate"/>
        </w:r>
        <w:r>
          <w:rPr>
            <w:webHidden/>
          </w:rPr>
          <w:t>12</w:t>
        </w:r>
        <w:r w:rsidR="003E27EC">
          <w:rPr>
            <w:webHidden/>
          </w:rPr>
          <w:fldChar w:fldCharType="end"/>
        </w:r>
      </w:hyperlink>
    </w:p>
    <w:p w:rsidR="003E27EC" w:rsidRDefault="0028199F">
      <w:pPr>
        <w:pStyle w:val="TableofFigures"/>
        <w:rPr>
          <w:rFonts w:asciiTheme="minorHAnsi" w:eastAsiaTheme="minorEastAsia" w:hAnsiTheme="minorHAnsi" w:cstheme="minorBidi"/>
          <w:sz w:val="22"/>
          <w:szCs w:val="22"/>
        </w:rPr>
      </w:pPr>
      <w:hyperlink w:anchor="_Toc518994445" w:history="1">
        <w:r w:rsidR="003E27EC" w:rsidRPr="00917779">
          <w:rPr>
            <w:rStyle w:val="Hyperlink"/>
            <w:rFonts w:eastAsia="Dotum"/>
          </w:rPr>
          <w:t>Figure 4</w:t>
        </w:r>
        <w:r w:rsidR="0059425F">
          <w:rPr>
            <w:rStyle w:val="Hyperlink"/>
            <w:rFonts w:eastAsia="Dotum"/>
          </w:rPr>
          <w:t>:</w:t>
        </w:r>
        <w:r w:rsidR="003E27EC">
          <w:rPr>
            <w:rFonts w:asciiTheme="minorHAnsi" w:eastAsiaTheme="minorEastAsia" w:hAnsiTheme="minorHAnsi" w:cstheme="minorBidi"/>
            <w:sz w:val="22"/>
            <w:szCs w:val="22"/>
          </w:rPr>
          <w:tab/>
        </w:r>
        <w:r w:rsidR="003E27EC" w:rsidRPr="00917779">
          <w:rPr>
            <w:rStyle w:val="Hyperlink"/>
            <w:rFonts w:eastAsia="Dotum"/>
          </w:rPr>
          <w:t>Essential laneways for traffic access and typical restricted access sites</w:t>
        </w:r>
        <w:r w:rsidR="003E27EC">
          <w:rPr>
            <w:webHidden/>
          </w:rPr>
          <w:tab/>
        </w:r>
        <w:r w:rsidR="003E27EC">
          <w:rPr>
            <w:webHidden/>
          </w:rPr>
          <w:fldChar w:fldCharType="begin"/>
        </w:r>
        <w:r w:rsidR="003E27EC">
          <w:rPr>
            <w:webHidden/>
          </w:rPr>
          <w:instrText xml:space="preserve"> PAGEREF _Toc518994445 \h </w:instrText>
        </w:r>
        <w:r w:rsidR="003E27EC">
          <w:rPr>
            <w:webHidden/>
          </w:rPr>
        </w:r>
        <w:r w:rsidR="003E27EC">
          <w:rPr>
            <w:webHidden/>
          </w:rPr>
          <w:fldChar w:fldCharType="separate"/>
        </w:r>
        <w:r>
          <w:rPr>
            <w:webHidden/>
          </w:rPr>
          <w:t>35</w:t>
        </w:r>
        <w:r w:rsidR="003E27EC">
          <w:rPr>
            <w:webHidden/>
          </w:rPr>
          <w:fldChar w:fldCharType="end"/>
        </w:r>
      </w:hyperlink>
    </w:p>
    <w:p w:rsidR="007C7956" w:rsidRDefault="00263B06" w:rsidP="00F236E4">
      <w:pPr>
        <w:pStyle w:val="TableofFigures"/>
        <w:rPr>
          <w:rStyle w:val="PPVBodyChar"/>
          <w:rFonts w:eastAsia="Dotum"/>
        </w:rPr>
      </w:pPr>
      <w:r>
        <w:rPr>
          <w:rStyle w:val="PPVBodyChar"/>
          <w:rFonts w:eastAsia="Dotum"/>
        </w:rPr>
        <w:fldChar w:fldCharType="end"/>
      </w:r>
    </w:p>
    <w:p w:rsidR="00AC330D" w:rsidRPr="00BE2F28" w:rsidRDefault="007A7D08" w:rsidP="009A41AF">
      <w:pPr>
        <w:pStyle w:val="PPVBody"/>
        <w:rPr>
          <w:b/>
          <w:sz w:val="32"/>
          <w:szCs w:val="32"/>
        </w:rPr>
      </w:pPr>
      <w:r w:rsidRPr="00BE2F28">
        <w:rPr>
          <w:b/>
          <w:sz w:val="32"/>
          <w:szCs w:val="32"/>
        </w:rPr>
        <w:t>List of Abbreviations</w:t>
      </w:r>
      <w:r w:rsidR="00C11C77" w:rsidRPr="00BE2F28">
        <w:rPr>
          <w:b/>
          <w:sz w:val="32"/>
          <w:szCs w:val="32"/>
        </w:rPr>
        <w:t xml:space="preserve"> (as per Report No</w:t>
      </w:r>
      <w:r w:rsidR="009418A2" w:rsidRPr="00BE2F28">
        <w:rPr>
          <w:b/>
          <w:sz w:val="32"/>
          <w:szCs w:val="32"/>
        </w:rPr>
        <w:t>.</w:t>
      </w:r>
      <w:r w:rsidR="00C11C77" w:rsidRPr="00BE2F28">
        <w:rPr>
          <w:b/>
          <w:sz w:val="32"/>
          <w:szCs w:val="32"/>
        </w:rPr>
        <w:t xml:space="preserve"> 1)</w:t>
      </w:r>
    </w:p>
    <w:p w:rsidR="006B7FA2" w:rsidRDefault="006B7FA2" w:rsidP="000C5DD2">
      <w:pPr>
        <w:pStyle w:val="PPVBody"/>
        <w:rPr>
          <w:highlight w:val="cyan"/>
        </w:rPr>
      </w:pPr>
    </w:p>
    <w:p w:rsidR="002F0ACC" w:rsidRPr="00C70AC5" w:rsidRDefault="006B7FA2" w:rsidP="000C5DD2">
      <w:pPr>
        <w:pStyle w:val="PPVBody"/>
        <w:rPr>
          <w:highlight w:val="cyan"/>
        </w:rPr>
      </w:pPr>
      <w:r>
        <w:rPr>
          <w:highlight w:val="cyan"/>
        </w:rPr>
        <w:br w:type="page"/>
      </w:r>
    </w:p>
    <w:p w:rsidR="00245F42" w:rsidRPr="004A17B0" w:rsidRDefault="00245F42" w:rsidP="000C5DD2">
      <w:pPr>
        <w:pStyle w:val="PPVBody"/>
        <w:sectPr w:rsidR="00245F42" w:rsidRPr="004A17B0" w:rsidSect="00454572">
          <w:headerReference w:type="default" r:id="rId23"/>
          <w:footerReference w:type="default" r:id="rId24"/>
          <w:pgSz w:w="11906" w:h="16838"/>
          <w:pgMar w:top="1701" w:right="1418" w:bottom="1134" w:left="1418" w:header="720" w:footer="448" w:gutter="0"/>
          <w:pgNumType w:fmt="lowerRoman" w:start="1"/>
          <w:cols w:space="708"/>
          <w:docGrid w:linePitch="360"/>
        </w:sectPr>
      </w:pPr>
    </w:p>
    <w:bookmarkEnd w:id="8"/>
    <w:bookmarkEnd w:id="9"/>
    <w:p w:rsidR="00607994" w:rsidRDefault="00F3421A" w:rsidP="009A41AF">
      <w:pPr>
        <w:pStyle w:val="PPVAppendixHeading2"/>
        <w:ind w:left="0" w:firstLine="0"/>
      </w:pPr>
      <w:r>
        <w:lastRenderedPageBreak/>
        <w:t>Executive s</w:t>
      </w:r>
      <w:r w:rsidR="00BF45DA" w:rsidRPr="00601526">
        <w:t>ummary</w:t>
      </w:r>
    </w:p>
    <w:p w:rsidR="00D03F0E" w:rsidRDefault="00D03F0E" w:rsidP="00186075">
      <w:pPr>
        <w:pStyle w:val="Heading4"/>
      </w:pPr>
      <w:r w:rsidRPr="007A7D08">
        <w:t>Summary</w:t>
      </w:r>
    </w:p>
    <w:p w:rsidR="008B6D98" w:rsidRDefault="008B3EAB" w:rsidP="000C5DD2">
      <w:pPr>
        <w:pStyle w:val="PPVBody"/>
      </w:pPr>
      <w:r>
        <w:t>This is R</w:t>
      </w:r>
      <w:r w:rsidR="00C70AC5">
        <w:t xml:space="preserve">eport </w:t>
      </w:r>
      <w:r w:rsidR="003B36A8">
        <w:t>No</w:t>
      </w:r>
      <w:r w:rsidR="00236CD2">
        <w:t>.</w:t>
      </w:r>
      <w:r w:rsidR="003B36A8">
        <w:t xml:space="preserve"> 3</w:t>
      </w:r>
      <w:r w:rsidR="00A462FE">
        <w:t xml:space="preserve"> </w:t>
      </w:r>
      <w:r w:rsidR="00C70AC5">
        <w:t>of the Review Panel</w:t>
      </w:r>
      <w:r w:rsidR="00A462FE">
        <w:t xml:space="preserve"> which relates to</w:t>
      </w:r>
      <w:r w:rsidR="00C70AC5">
        <w:t xml:space="preserve"> the </w:t>
      </w:r>
      <w:r w:rsidR="005B36E5">
        <w:t>Montague</w:t>
      </w:r>
      <w:r w:rsidR="00C70AC5">
        <w:t xml:space="preserve"> Precinct.</w:t>
      </w:r>
      <w:r w:rsidR="00EA0809">
        <w:t xml:space="preserve">  </w:t>
      </w:r>
      <w:r w:rsidR="008B6D98">
        <w:t xml:space="preserve">This report </w:t>
      </w:r>
      <w:r w:rsidR="002D539D">
        <w:t>must</w:t>
      </w:r>
      <w:r w:rsidR="008B6D98">
        <w:t xml:space="preserve"> be read in conjunction with Report No.</w:t>
      </w:r>
      <w:r w:rsidR="008E74D4">
        <w:t xml:space="preserve"> </w:t>
      </w:r>
      <w:r w:rsidR="008B6D98">
        <w:t>1</w:t>
      </w:r>
      <w:r w:rsidR="00F17341">
        <w:t xml:space="preserve"> </w:t>
      </w:r>
      <w:r w:rsidR="000B7EF2">
        <w:t xml:space="preserve">Volume 1 - </w:t>
      </w:r>
      <w:r w:rsidR="00F17341">
        <w:t>Overview</w:t>
      </w:r>
      <w:r w:rsidR="00621FD3">
        <w:t xml:space="preserve">, </w:t>
      </w:r>
      <w:r w:rsidR="002D539D">
        <w:t xml:space="preserve">and Volume 2 </w:t>
      </w:r>
      <w:r w:rsidR="000B7EF2">
        <w:t xml:space="preserve">- </w:t>
      </w:r>
      <w:r w:rsidR="002D539D">
        <w:t>Amended planning controls</w:t>
      </w:r>
      <w:r w:rsidR="00E508F1">
        <w:t>.</w:t>
      </w:r>
      <w:r w:rsidR="002D539D">
        <w:t xml:space="preserve">  These reports provide the primary findings and recommendations of the Review Panel, in particular, its position on the key component</w:t>
      </w:r>
      <w:r w:rsidR="00236CD2">
        <w:t>s</w:t>
      </w:r>
      <w:r w:rsidR="002D539D">
        <w:t xml:space="preserve"> of the draft Amendment and its</w:t>
      </w:r>
      <w:r w:rsidR="000B7EF2">
        <w:t xml:space="preserve"> </w:t>
      </w:r>
      <w:r w:rsidR="002D539D">
        <w:t>recommendations for the planning controls.  One recommendation includes a revised Design and Dev</w:t>
      </w:r>
      <w:r w:rsidR="00B10DAA">
        <w:t>elopment Overlay for Montague.</w:t>
      </w:r>
    </w:p>
    <w:p w:rsidR="002D539D" w:rsidRPr="002402D5" w:rsidRDefault="002D539D" w:rsidP="002D539D">
      <w:pPr>
        <w:pStyle w:val="PPVBody"/>
      </w:pPr>
      <w:r>
        <w:t>In this report, the Review Panel responds to a range of site specific issues raised in submissions and recommends further changes where appropriate.</w:t>
      </w:r>
    </w:p>
    <w:p w:rsidR="001B1B3E" w:rsidRDefault="001B1B3E" w:rsidP="000C5DD2">
      <w:pPr>
        <w:pStyle w:val="PPVBody"/>
      </w:pPr>
      <w:r>
        <w:t>Montague is a diverse area of Fishermans Bend</w:t>
      </w:r>
      <w:r w:rsidR="00236CD2">
        <w:t>.  Its proximity to the CBD makes it</w:t>
      </w:r>
      <w:r>
        <w:t xml:space="preserve"> </w:t>
      </w:r>
      <w:r w:rsidR="00236CD2">
        <w:t xml:space="preserve">a </w:t>
      </w:r>
      <w:r>
        <w:t>key Precinct</w:t>
      </w:r>
      <w:r w:rsidR="00236CD2">
        <w:t xml:space="preserve">, and it </w:t>
      </w:r>
      <w:r>
        <w:t xml:space="preserve">will have </w:t>
      </w:r>
      <w:r w:rsidR="00AC679F">
        <w:t xml:space="preserve">the greatest </w:t>
      </w:r>
      <w:r w:rsidR="005F501A">
        <w:t xml:space="preserve">density </w:t>
      </w:r>
      <w:r>
        <w:t>of built form.  Montague North will take the higher levels of built form and this will graduate down to four and six storey</w:t>
      </w:r>
      <w:r w:rsidR="00236CD2">
        <w:t>s</w:t>
      </w:r>
      <w:r>
        <w:t xml:space="preserve"> on the southern and western boundaries of Montague South.  Much of Montague is likely to be punctuated by taller buildings due to permits already granted, and some applications yet to be considered.  If done well, this could add diversity and interest to parts of the Precinct.</w:t>
      </w:r>
    </w:p>
    <w:p w:rsidR="002402D5" w:rsidRDefault="002402D5" w:rsidP="0055040B">
      <w:pPr>
        <w:pStyle w:val="Heading4"/>
      </w:pPr>
      <w:r>
        <w:t>Findings</w:t>
      </w:r>
    </w:p>
    <w:p w:rsidR="002402D5" w:rsidRDefault="002402D5" w:rsidP="002402D5">
      <w:pPr>
        <w:pStyle w:val="PPVBody"/>
      </w:pPr>
      <w:r>
        <w:t xml:space="preserve">In relation to the key issues </w:t>
      </w:r>
      <w:r w:rsidR="00AE4761">
        <w:t>for the Montague Precinct</w:t>
      </w:r>
      <w:r>
        <w:t xml:space="preserve">, the </w:t>
      </w:r>
      <w:r w:rsidR="00AE4761">
        <w:t xml:space="preserve">Review Panel </w:t>
      </w:r>
      <w:r w:rsidR="00822261">
        <w:t>finds</w:t>
      </w:r>
      <w:r w:rsidR="00AE4761">
        <w:t>:</w:t>
      </w:r>
    </w:p>
    <w:p w:rsidR="00176015" w:rsidRDefault="00176015" w:rsidP="00176015">
      <w:pPr>
        <w:pStyle w:val="PPVBullet1"/>
      </w:pPr>
      <w:r>
        <w:t>The built form of Montague will comprise diver</w:t>
      </w:r>
      <w:r w:rsidR="00132640">
        <w:t>se outcomes in the form of high-</w:t>
      </w:r>
      <w:r>
        <w:t>rise, ‘tooth and gap’ and mid-rise typologies, with taller buildings in the inner core and to its north and north east.</w:t>
      </w:r>
    </w:p>
    <w:p w:rsidR="00176015" w:rsidRDefault="00176015" w:rsidP="00176015">
      <w:pPr>
        <w:pStyle w:val="PPVBullet1"/>
      </w:pPr>
      <w:r>
        <w:t>The key spines of Montague and Buckhurst Streets, and City and Normandy Roads, while being major transit corridors, have the potential to be significant boulevards that cater for pedestrians and cyclists.</w:t>
      </w:r>
    </w:p>
    <w:p w:rsidR="00176015" w:rsidRDefault="00176015" w:rsidP="00176015">
      <w:pPr>
        <w:pStyle w:val="PPVBullet1"/>
      </w:pPr>
      <w:r>
        <w:t>The ‘tooth and gap’ typology for Buckhurst Street is supported, but not the redu</w:t>
      </w:r>
      <w:r w:rsidR="00B10DAA">
        <w:t>ced heights sought by Council.</w:t>
      </w:r>
    </w:p>
    <w:p w:rsidR="00176015" w:rsidRDefault="00176015" w:rsidP="00176015">
      <w:pPr>
        <w:pStyle w:val="PPVBullet1"/>
      </w:pPr>
      <w:r>
        <w:t>The gritty urban built form of areas within Montague South should be celebrated as defining features to enhance its overall urban context.</w:t>
      </w:r>
    </w:p>
    <w:p w:rsidR="00176015" w:rsidRDefault="00176015" w:rsidP="00176015">
      <w:pPr>
        <w:pStyle w:val="PPVBullet1"/>
      </w:pPr>
      <w:r>
        <w:t>The discretionary and mandatory building heights for Montague are supported as shown in the revised Map 3 to the Montague Design and Development Overlay.</w:t>
      </w:r>
    </w:p>
    <w:p w:rsidR="00176015" w:rsidRDefault="00176015" w:rsidP="00176015">
      <w:pPr>
        <w:pStyle w:val="PPVBullet1"/>
      </w:pPr>
      <w:r>
        <w:t xml:space="preserve">The </w:t>
      </w:r>
      <w:r w:rsidR="00236CD2">
        <w:t xml:space="preserve">Review Panel supports the deletion of the </w:t>
      </w:r>
      <w:r>
        <w:t xml:space="preserve">secondary </w:t>
      </w:r>
      <w:r w:rsidR="00DA124E">
        <w:t>active frontages</w:t>
      </w:r>
      <w:r w:rsidR="005F501A">
        <w:t xml:space="preserve"> </w:t>
      </w:r>
      <w:r>
        <w:t xml:space="preserve">designations for Johnson </w:t>
      </w:r>
      <w:r w:rsidR="00236CD2">
        <w:t xml:space="preserve">Street </w:t>
      </w:r>
      <w:r>
        <w:t>and the northern part of Montague Street from Map 3 in the revised Montague Design and Development Overlay.</w:t>
      </w:r>
    </w:p>
    <w:p w:rsidR="004645E1" w:rsidRDefault="00176015" w:rsidP="00176015">
      <w:pPr>
        <w:pStyle w:val="PPVBullet1"/>
      </w:pPr>
      <w:r>
        <w:t>The allocation of the pub</w:t>
      </w:r>
      <w:r w:rsidR="00DA124E">
        <w:t>lic open spaces as shown in DM1A</w:t>
      </w:r>
      <w:r>
        <w:t xml:space="preserve"> in Montague is generally sound</w:t>
      </w:r>
      <w:r w:rsidR="00236CD2">
        <w:t>.  Open spaces</w:t>
      </w:r>
      <w:r>
        <w:t xml:space="preserve"> are well spaced and located.  </w:t>
      </w:r>
      <w:r w:rsidR="00822261">
        <w:t>K</w:t>
      </w:r>
      <w:r>
        <w:t>ey open spaces include</w:t>
      </w:r>
      <w:r w:rsidR="00236CD2">
        <w:t>:</w:t>
      </w:r>
    </w:p>
    <w:p w:rsidR="004645E1" w:rsidRDefault="00176015" w:rsidP="004645E1">
      <w:pPr>
        <w:pStyle w:val="PPVBullet2"/>
      </w:pPr>
      <w:r>
        <w:t>Montague Park and its extension</w:t>
      </w:r>
      <w:r w:rsidR="004645E1">
        <w:t xml:space="preserve"> to the north of the tram line</w:t>
      </w:r>
    </w:p>
    <w:p w:rsidR="004645E1" w:rsidRDefault="004645E1" w:rsidP="004645E1">
      <w:pPr>
        <w:pStyle w:val="PPVBullet2"/>
      </w:pPr>
      <w:r>
        <w:t>Montague North Park</w:t>
      </w:r>
    </w:p>
    <w:p w:rsidR="004645E1" w:rsidRDefault="00176015" w:rsidP="004645E1">
      <w:pPr>
        <w:pStyle w:val="PPVBullet2"/>
      </w:pPr>
      <w:r>
        <w:t xml:space="preserve">the central spine along the tram line between </w:t>
      </w:r>
      <w:r w:rsidR="004645E1">
        <w:t>Woodgate and Gladstone Streets</w:t>
      </w:r>
    </w:p>
    <w:p w:rsidR="004645E1" w:rsidRDefault="00822261" w:rsidP="00591580">
      <w:pPr>
        <w:pStyle w:val="PPVBullet2"/>
      </w:pPr>
      <w:r>
        <w:t>smaller parks north and s</w:t>
      </w:r>
      <w:r w:rsidR="004645E1">
        <w:t>outh along Thistle</w:t>
      </w:r>
      <w:r w:rsidR="00F73890">
        <w:t>th</w:t>
      </w:r>
      <w:r w:rsidR="004645E1">
        <w:t>waite Street</w:t>
      </w:r>
    </w:p>
    <w:p w:rsidR="004645E1" w:rsidRDefault="00822261" w:rsidP="004645E1">
      <w:pPr>
        <w:pStyle w:val="PPVBullet2"/>
      </w:pPr>
      <w:r>
        <w:t>linear parks along Johnson</w:t>
      </w:r>
      <w:r w:rsidR="004645E1">
        <w:t xml:space="preserve"> Street and Ferrars Street</w:t>
      </w:r>
    </w:p>
    <w:p w:rsidR="004645E1" w:rsidRDefault="00822261" w:rsidP="004645E1">
      <w:pPr>
        <w:pStyle w:val="PPVBullet2"/>
      </w:pPr>
      <w:r>
        <w:lastRenderedPageBreak/>
        <w:t>the through block park from Gladstone to Buckhurst St</w:t>
      </w:r>
      <w:r w:rsidR="00B10DAA">
        <w:t>reet, west of Montague Street.</w:t>
      </w:r>
    </w:p>
    <w:p w:rsidR="00176015" w:rsidRDefault="00822261" w:rsidP="004645E1">
      <w:pPr>
        <w:pStyle w:val="PPVBullet1"/>
      </w:pPr>
      <w:r>
        <w:t>The removal of the public open space from 87 Gladstone Street is supported.</w:t>
      </w:r>
    </w:p>
    <w:p w:rsidR="00176015" w:rsidRDefault="00176015" w:rsidP="00176015">
      <w:pPr>
        <w:pStyle w:val="PPVBullet1"/>
      </w:pPr>
      <w:r>
        <w:t xml:space="preserve">There is merit </w:t>
      </w:r>
      <w:r w:rsidR="00584ABA">
        <w:t xml:space="preserve">expanding </w:t>
      </w:r>
      <w:r>
        <w:t>the major area of public open space in the triangle of the West Gate Freeway, Montague Street and Munro Street, supported by a Precinct wide Sport and Recreation Hub.</w:t>
      </w:r>
    </w:p>
    <w:p w:rsidR="00176015" w:rsidRDefault="00176015" w:rsidP="00176015">
      <w:pPr>
        <w:pStyle w:val="PPVBullet1"/>
      </w:pPr>
      <w:r>
        <w:t xml:space="preserve">The designation of open space on the </w:t>
      </w:r>
      <w:r w:rsidR="00236CD2">
        <w:t xml:space="preserve">Wadhawan </w:t>
      </w:r>
      <w:r w:rsidR="00DA124E">
        <w:t xml:space="preserve">Holdings </w:t>
      </w:r>
      <w:r>
        <w:t xml:space="preserve">site </w:t>
      </w:r>
      <w:r w:rsidR="004645E1">
        <w:t xml:space="preserve">at 400 – 430 City Road </w:t>
      </w:r>
      <w:r>
        <w:t xml:space="preserve">should be retained, but a note added to show that it is in an indicative location only, subject to site design.  It should not be </w:t>
      </w:r>
      <w:r w:rsidR="00584ABA">
        <w:t xml:space="preserve">required to be handed over as public open space (and therefore should not be </w:t>
      </w:r>
      <w:r>
        <w:t>counted as public open space</w:t>
      </w:r>
      <w:r w:rsidR="00584ABA">
        <w:t>)</w:t>
      </w:r>
      <w:r>
        <w:t>, but it should be designed to provide a link from City Road though to the tram stop</w:t>
      </w:r>
      <w:r w:rsidR="00584ABA">
        <w:t xml:space="preserve"> </w:t>
      </w:r>
      <w:r w:rsidR="00D265E4">
        <w:t>next to the school in Railway Place</w:t>
      </w:r>
      <w:r>
        <w:t>.</w:t>
      </w:r>
    </w:p>
    <w:p w:rsidR="00176015" w:rsidRDefault="00176015" w:rsidP="00176015">
      <w:pPr>
        <w:pStyle w:val="PPVBullet1"/>
      </w:pPr>
      <w:r>
        <w:t>There is merit in the Arts and Cultur</w:t>
      </w:r>
      <w:r w:rsidR="00584ABA">
        <w:t>e</w:t>
      </w:r>
      <w:r>
        <w:t xml:space="preserve"> Hub being located on the site of the existing school at Montague Street as per </w:t>
      </w:r>
      <w:r w:rsidR="00DA124E">
        <w:t>Port Phillip’s</w:t>
      </w:r>
      <w:r>
        <w:t xml:space="preserve"> proposed urban structure, however no change to the draft Amendment or draft Framework is required</w:t>
      </w:r>
      <w:r w:rsidR="00584ABA">
        <w:t>.</w:t>
      </w:r>
    </w:p>
    <w:p w:rsidR="00176015" w:rsidRDefault="00176015" w:rsidP="00176015">
      <w:pPr>
        <w:pStyle w:val="PPVBullet1"/>
      </w:pPr>
      <w:r>
        <w:t xml:space="preserve">The exhibited heights for 400 </w:t>
      </w:r>
      <w:r w:rsidR="004645E1">
        <w:t xml:space="preserve">– 430 </w:t>
      </w:r>
      <w:r>
        <w:t xml:space="preserve">City Road </w:t>
      </w:r>
      <w:r w:rsidR="00584ABA">
        <w:t xml:space="preserve">are </w:t>
      </w:r>
      <w:r>
        <w:t xml:space="preserve">supported, but any future development should be designed to ensure that it does not overshadow the footpaths </w:t>
      </w:r>
      <w:r w:rsidR="00B10DAA">
        <w:t>at the South Melbourne Market.</w:t>
      </w:r>
    </w:p>
    <w:p w:rsidR="00176015" w:rsidRDefault="00176015" w:rsidP="00176015">
      <w:pPr>
        <w:pStyle w:val="PPVBullet1"/>
      </w:pPr>
      <w:r>
        <w:t>Further site access investigations can be undertaken as part of a planning permit application</w:t>
      </w:r>
      <w:r w:rsidR="004645E1">
        <w:t xml:space="preserve"> for 187 – 198 </w:t>
      </w:r>
      <w:r w:rsidR="00F73890">
        <w:t>Normanby</w:t>
      </w:r>
      <w:r w:rsidR="004645E1">
        <w:t xml:space="preserve"> Road</w:t>
      </w:r>
      <w:r>
        <w:t>.</w:t>
      </w:r>
    </w:p>
    <w:p w:rsidR="00710CAA" w:rsidRDefault="00710CAA" w:rsidP="00710CAA">
      <w:pPr>
        <w:pStyle w:val="PPVBullet1"/>
      </w:pPr>
      <w:r>
        <w:t xml:space="preserve">The final location of laneways will be resolved and clarified during the Precinct plan and/or permit application stage.  </w:t>
      </w:r>
      <w:r w:rsidR="00584ABA">
        <w:t xml:space="preserve">Critical laneways, namely </w:t>
      </w:r>
      <w:r w:rsidR="00DA124E">
        <w:t>at the rear of 562 and 600 City Road, and between Arthur and Alfred Street</w:t>
      </w:r>
      <w:r w:rsidR="006A12C8">
        <w:t>s should be so</w:t>
      </w:r>
      <w:r w:rsidR="00584ABA">
        <w:t xml:space="preserve"> </w:t>
      </w:r>
      <w:r w:rsidR="00DA124E">
        <w:t xml:space="preserve">designated </w:t>
      </w:r>
      <w:r w:rsidR="00584ABA">
        <w:t xml:space="preserve">on </w:t>
      </w:r>
      <w:r w:rsidR="006A12C8">
        <w:t>Map 1.</w:t>
      </w:r>
    </w:p>
    <w:p w:rsidR="00607994" w:rsidRDefault="00E32C7D" w:rsidP="0055040B">
      <w:pPr>
        <w:pStyle w:val="Heading4"/>
      </w:pPr>
      <w:r w:rsidRPr="007A7D08">
        <w:t>Recommendation</w:t>
      </w:r>
      <w:r w:rsidR="007F07E8">
        <w:t>s</w:t>
      </w:r>
    </w:p>
    <w:p w:rsidR="00FC0608" w:rsidRDefault="00E32C7D" w:rsidP="0055040B">
      <w:pPr>
        <w:pStyle w:val="PPVBody"/>
      </w:pPr>
      <w:r>
        <w:t>Based on the reasons set out i</w:t>
      </w:r>
      <w:r w:rsidRPr="00233351">
        <w:t xml:space="preserve">n this Report, </w:t>
      </w:r>
      <w:r w:rsidR="00B61A9E" w:rsidRPr="00233351">
        <w:t>the</w:t>
      </w:r>
      <w:r w:rsidR="008B6D98">
        <w:t xml:space="preserve"> Review</w:t>
      </w:r>
      <w:r w:rsidR="00B61A9E" w:rsidRPr="00233351">
        <w:t xml:space="preserve"> Panel </w:t>
      </w:r>
      <w:r w:rsidRPr="00233351">
        <w:t>recommend</w:t>
      </w:r>
      <w:r w:rsidR="00B61A9E" w:rsidRPr="00233351">
        <w:t>s</w:t>
      </w:r>
      <w:r w:rsidR="0055040B">
        <w:t xml:space="preserve"> that </w:t>
      </w:r>
      <w:r w:rsidR="008B6D98">
        <w:t xml:space="preserve">the Minister for Planning </w:t>
      </w:r>
      <w:r w:rsidR="00650837">
        <w:t>progress draft Amendment GC81</w:t>
      </w:r>
      <w:r w:rsidR="00AE4761">
        <w:t xml:space="preserve">, subject </w:t>
      </w:r>
      <w:r w:rsidRPr="00FC0608">
        <w:t>to the following</w:t>
      </w:r>
      <w:r w:rsidR="008B6D98">
        <w:t xml:space="preserve"> changes</w:t>
      </w:r>
      <w:r w:rsidRPr="00FC0608">
        <w:t>:</w:t>
      </w:r>
    </w:p>
    <w:p w:rsidR="00475913" w:rsidRDefault="00E500BC">
      <w:pPr>
        <w:pStyle w:val="TOC4"/>
        <w:rPr>
          <w:rFonts w:asciiTheme="minorHAnsi" w:eastAsiaTheme="minorEastAsia" w:hAnsiTheme="minorHAnsi" w:cstheme="minorBidi"/>
          <w:b w:val="0"/>
          <w:sz w:val="22"/>
          <w:szCs w:val="22"/>
        </w:rPr>
      </w:pPr>
      <w:r>
        <w:fldChar w:fldCharType="begin"/>
      </w:r>
      <w:r>
        <w:instrText xml:space="preserve"> TOC \n \p " " \t "PPV Recommendation,4,PPV Recommendation </w:instrText>
      </w:r>
      <w:r w:rsidR="0046475D">
        <w:instrText>Alpha</w:instrText>
      </w:r>
      <w:r>
        <w:instrText xml:space="preserve"> List,</w:instrText>
      </w:r>
      <w:r w:rsidR="0046475D">
        <w:instrText>5</w:instrText>
      </w:r>
      <w:r>
        <w:instrText>,PPV Recommendation Bullet,</w:instrText>
      </w:r>
      <w:r w:rsidR="00A06D3E">
        <w:instrText>6</w:instrText>
      </w:r>
      <w:r>
        <w:instrText>,PPV Recommendation Qu</w:instrText>
      </w:r>
      <w:r w:rsidR="0046475D">
        <w:instrText>o</w:instrText>
      </w:r>
      <w:r>
        <w:instrText>te or General Text,</w:instrText>
      </w:r>
      <w:r w:rsidR="00A06D3E">
        <w:instrText>7</w:instrText>
      </w:r>
      <w:r>
        <w:instrText xml:space="preserve">" </w:instrText>
      </w:r>
      <w:r>
        <w:fldChar w:fldCharType="separate"/>
      </w:r>
      <w:r w:rsidR="00475913" w:rsidRPr="00790289">
        <w:rPr>
          <w:color w:val="000000"/>
          <w14:scene3d>
            <w14:camera w14:prst="orthographicFront"/>
            <w14:lightRig w14:rig="threePt" w14:dir="t">
              <w14:rot w14:lat="0" w14:lon="0" w14:rev="0"/>
            </w14:lightRig>
          </w14:scene3d>
        </w:rPr>
        <w:t>1.</w:t>
      </w:r>
      <w:r w:rsidR="00475913">
        <w:rPr>
          <w:rFonts w:asciiTheme="minorHAnsi" w:eastAsiaTheme="minorEastAsia" w:hAnsiTheme="minorHAnsi" w:cstheme="minorBidi"/>
          <w:b w:val="0"/>
          <w:sz w:val="22"/>
          <w:szCs w:val="22"/>
        </w:rPr>
        <w:tab/>
      </w:r>
      <w:r w:rsidR="00475913">
        <w:t>Amend Map 2 to the Montague Design and Development Overlay to show the whole of the Montague North site as public open space.</w:t>
      </w:r>
    </w:p>
    <w:p w:rsidR="00475913" w:rsidRDefault="00475913">
      <w:pPr>
        <w:pStyle w:val="TOC4"/>
        <w:rPr>
          <w:rFonts w:asciiTheme="minorHAnsi" w:eastAsiaTheme="minorEastAsia" w:hAnsiTheme="minorHAnsi" w:cstheme="minorBidi"/>
          <w:b w:val="0"/>
          <w:sz w:val="22"/>
          <w:szCs w:val="22"/>
        </w:rPr>
      </w:pPr>
      <w:r w:rsidRPr="00790289">
        <w:rPr>
          <w:color w:val="000000"/>
          <w14:scene3d>
            <w14:camera w14:prst="orthographicFront"/>
            <w14:lightRig w14:rig="threePt" w14:dir="t">
              <w14:rot w14:lat="0" w14:lon="0" w14:rev="0"/>
            </w14:lightRig>
          </w14:scene3d>
        </w:rPr>
        <w:t>2.</w:t>
      </w:r>
      <w:r>
        <w:rPr>
          <w:rFonts w:asciiTheme="minorHAnsi" w:eastAsiaTheme="minorEastAsia" w:hAnsiTheme="minorHAnsi" w:cstheme="minorBidi"/>
          <w:b w:val="0"/>
          <w:sz w:val="22"/>
          <w:szCs w:val="22"/>
        </w:rPr>
        <w:tab/>
      </w:r>
      <w:r>
        <w:t>Amend Map 2 to the Montague Design and Development Overlay to show the open space designation on the site at 400 – 430 City Road as ‘communal open space – location indicative, subject to site design’.</w:t>
      </w:r>
    </w:p>
    <w:p w:rsidR="00B4353C" w:rsidRDefault="00E500BC" w:rsidP="0055040B">
      <w:pPr>
        <w:pStyle w:val="PPVBody"/>
      </w:pPr>
      <w:r>
        <w:rPr>
          <w:b/>
          <w:noProof/>
          <w:color w:val="215868" w:themeColor="accent5" w:themeShade="80"/>
        </w:rPr>
        <w:fldChar w:fldCharType="end"/>
      </w:r>
    </w:p>
    <w:p w:rsidR="00B4353C" w:rsidRDefault="00B4353C" w:rsidP="0055040B">
      <w:pPr>
        <w:pStyle w:val="PPVBody"/>
        <w:sectPr w:rsidR="00B4353C" w:rsidSect="00454572">
          <w:headerReference w:type="default" r:id="rId25"/>
          <w:footerReference w:type="default" r:id="rId26"/>
          <w:pgSz w:w="11906" w:h="16838"/>
          <w:pgMar w:top="1701" w:right="1418" w:bottom="1701" w:left="1418" w:header="720" w:footer="448" w:gutter="0"/>
          <w:pgNumType w:start="1"/>
          <w:cols w:space="708"/>
          <w:docGrid w:linePitch="360"/>
        </w:sectPr>
      </w:pPr>
    </w:p>
    <w:p w:rsidR="00607994" w:rsidRDefault="00FC09A5" w:rsidP="00445060">
      <w:pPr>
        <w:pStyle w:val="Heading1"/>
      </w:pPr>
      <w:bookmarkStart w:id="10" w:name="_Toc519849244"/>
      <w:bookmarkStart w:id="11" w:name="_Toc105479995"/>
      <w:bookmarkStart w:id="12" w:name="_Toc29444375"/>
      <w:bookmarkStart w:id="13" w:name="_Toc29444347"/>
      <w:bookmarkStart w:id="14" w:name="_Toc486364565"/>
      <w:bookmarkStart w:id="15" w:name="_Toc29444373"/>
      <w:r>
        <w:lastRenderedPageBreak/>
        <w:t>Strategic Overview</w:t>
      </w:r>
      <w:bookmarkEnd w:id="10"/>
    </w:p>
    <w:p w:rsidR="00A00B8E" w:rsidRDefault="00E508F1" w:rsidP="00B67CC7">
      <w:pPr>
        <w:pStyle w:val="Heading2"/>
      </w:pPr>
      <w:bookmarkStart w:id="16" w:name="_Toc519849245"/>
      <w:r>
        <w:t>P</w:t>
      </w:r>
      <w:r w:rsidR="00FC09A5">
        <w:t>recinct</w:t>
      </w:r>
      <w:r w:rsidR="008E1C42">
        <w:t xml:space="preserve"> context</w:t>
      </w:r>
      <w:bookmarkEnd w:id="16"/>
    </w:p>
    <w:p w:rsidR="00A1146E" w:rsidRDefault="008A6A91" w:rsidP="002402D5">
      <w:pPr>
        <w:pStyle w:val="PPVBody"/>
      </w:pPr>
      <w:r>
        <w:t>The Montague</w:t>
      </w:r>
      <w:r w:rsidR="00397771">
        <w:t xml:space="preserve"> precinct</w:t>
      </w:r>
      <w:r>
        <w:t xml:space="preserve"> is located in th</w:t>
      </w:r>
      <w:r w:rsidR="005B36E5">
        <w:t>e City of Port Phillip and is 43</w:t>
      </w:r>
      <w:r>
        <w:t xml:space="preserve"> hectares in size</w:t>
      </w:r>
      <w:r w:rsidR="00A1146E">
        <w:t>, with a net developable area of 25 hectares</w:t>
      </w:r>
      <w:r w:rsidR="000B7EF2">
        <w:t xml:space="preserve"> (Refer to Figure 1)</w:t>
      </w:r>
      <w:r w:rsidR="0059425F">
        <w:t>.</w:t>
      </w:r>
    </w:p>
    <w:p w:rsidR="00F77240" w:rsidRDefault="008A6A91" w:rsidP="00D20F9D">
      <w:pPr>
        <w:pStyle w:val="PPVBody"/>
      </w:pPr>
      <w:r>
        <w:t xml:space="preserve">It is </w:t>
      </w:r>
      <w:r w:rsidR="00A1146E">
        <w:t>bound by</w:t>
      </w:r>
      <w:r>
        <w:t xml:space="preserve"> the We</w:t>
      </w:r>
      <w:r w:rsidR="00AC679F">
        <w:t>st G</w:t>
      </w:r>
      <w:r w:rsidR="00843055">
        <w:t xml:space="preserve">ate Freeway </w:t>
      </w:r>
      <w:r w:rsidR="00A1146E">
        <w:t xml:space="preserve">to the north, City Road to the east, Boundary Street to the south and Johnson Street to the west.  The </w:t>
      </w:r>
      <w:r w:rsidR="00DB434A">
        <w:t>Precinct</w:t>
      </w:r>
      <w:r w:rsidR="00A1146E">
        <w:t xml:space="preserve"> is supported by the 109 and </w:t>
      </w:r>
      <w:r w:rsidR="006C1A7D">
        <w:t>96</w:t>
      </w:r>
      <w:r w:rsidR="00A1146E">
        <w:t xml:space="preserve"> tram</w:t>
      </w:r>
      <w:r w:rsidR="00584ABA">
        <w:t>s</w:t>
      </w:r>
      <w:r w:rsidR="00A1146E">
        <w:t>.  Mo</w:t>
      </w:r>
      <w:r w:rsidR="00A558CE">
        <w:t>ntague</w:t>
      </w:r>
      <w:r w:rsidR="00A1146E">
        <w:t xml:space="preserve"> has two dis</w:t>
      </w:r>
      <w:r w:rsidR="00DB434A">
        <w:t>tinct</w:t>
      </w:r>
      <w:r w:rsidR="00A1146E">
        <w:t xml:space="preserve"> neighbourhoods</w:t>
      </w:r>
      <w:r w:rsidR="00AC679F">
        <w:t xml:space="preserve"> (North and South)</w:t>
      </w:r>
      <w:r w:rsidR="00A1146E">
        <w:t xml:space="preserve">, </w:t>
      </w:r>
      <w:r w:rsidR="00A558CE">
        <w:t xml:space="preserve">and is characterised by its wide streets and </w:t>
      </w:r>
      <w:r w:rsidR="00AC679F">
        <w:t>‘</w:t>
      </w:r>
      <w:r w:rsidR="00A558CE">
        <w:t>gritty</w:t>
      </w:r>
      <w:r w:rsidR="00AC679F">
        <w:t>’</w:t>
      </w:r>
      <w:r w:rsidR="00A558CE">
        <w:t xml:space="preserve"> urban form of laneways </w:t>
      </w:r>
      <w:r w:rsidR="00F77240">
        <w:t xml:space="preserve">with some </w:t>
      </w:r>
      <w:r w:rsidR="00A558CE">
        <w:t>heritage buildings.</w:t>
      </w:r>
    </w:p>
    <w:p w:rsidR="00AC679F" w:rsidRDefault="009E12C6" w:rsidP="00D20F9D">
      <w:pPr>
        <w:pStyle w:val="PPVBody"/>
      </w:pPr>
      <w:r>
        <w:t xml:space="preserve">The Precinct has </w:t>
      </w:r>
      <w:r w:rsidR="00D20F9D">
        <w:t>benefited</w:t>
      </w:r>
      <w:r w:rsidR="00152469">
        <w:t xml:space="preserve"> from</w:t>
      </w:r>
      <w:r>
        <w:t xml:space="preserve"> the construction and opening of </w:t>
      </w:r>
      <w:r w:rsidR="00D20F9D">
        <w:t>the new Ferrars Street Primary School</w:t>
      </w:r>
      <w:r>
        <w:t xml:space="preserve"> </w:t>
      </w:r>
      <w:r w:rsidR="00D20F9D">
        <w:t xml:space="preserve">and a </w:t>
      </w:r>
      <w:r w:rsidR="004B581C">
        <w:t>0.8</w:t>
      </w:r>
      <w:r w:rsidR="00D20F9D">
        <w:t xml:space="preserve"> hectare area of open space to be known as Montague Park located diagonally opposite</w:t>
      </w:r>
      <w:r w:rsidR="00AC679F">
        <w:t xml:space="preserve"> the school</w:t>
      </w:r>
      <w:r w:rsidR="00B10DAA">
        <w:t>.</w:t>
      </w:r>
    </w:p>
    <w:p w:rsidR="00D20F9D" w:rsidRDefault="00D20F9D" w:rsidP="00D20F9D">
      <w:pPr>
        <w:pStyle w:val="PPVBody"/>
      </w:pPr>
      <w:r>
        <w:t xml:space="preserve">Montague is an area vulnerable to </w:t>
      </w:r>
      <w:r w:rsidR="004645E1">
        <w:t>flooding</w:t>
      </w:r>
      <w:r w:rsidR="00A5487E">
        <w:t>.</w:t>
      </w:r>
      <w:r>
        <w:rPr>
          <w:rStyle w:val="FootnoteReference"/>
        </w:rPr>
        <w:footnoteReference w:id="1"/>
      </w:r>
    </w:p>
    <w:p w:rsidR="00152469" w:rsidRPr="00D164A8" w:rsidRDefault="00152469" w:rsidP="00152469">
      <w:pPr>
        <w:pStyle w:val="Caption"/>
      </w:pPr>
      <w:bookmarkStart w:id="17" w:name="_Toc518994442"/>
      <w:r w:rsidRPr="00D164A8">
        <w:t xml:space="preserve">Figure </w:t>
      </w:r>
      <w:fldSimple w:instr=" SEQ Figure \* ARABIC ">
        <w:r w:rsidR="0028199F">
          <w:rPr>
            <w:noProof/>
          </w:rPr>
          <w:t>1</w:t>
        </w:r>
      </w:fldSimple>
      <w:r w:rsidR="003223A2">
        <w:rPr>
          <w:noProof/>
        </w:rPr>
        <w:t>:</w:t>
      </w:r>
      <w:r>
        <w:tab/>
        <w:t>The s</w:t>
      </w:r>
      <w:r w:rsidRPr="00D164A8">
        <w:t xml:space="preserve">ubject </w:t>
      </w:r>
      <w:r>
        <w:t>land</w:t>
      </w:r>
      <w:bookmarkEnd w:id="17"/>
    </w:p>
    <w:p w:rsidR="00152469" w:rsidRDefault="00152469" w:rsidP="00152469">
      <w:pPr>
        <w:pStyle w:val="PPVBody"/>
      </w:pPr>
      <w:r w:rsidRPr="00C64A62">
        <w:rPr>
          <w:noProof/>
        </w:rPr>
        <w:drawing>
          <wp:inline distT="0" distB="0" distL="0" distR="0" wp14:anchorId="6A68B51B" wp14:editId="4DF8BCAD">
            <wp:extent cx="4217095" cy="3592133"/>
            <wp:effectExtent l="0" t="0" r="0" b="8890"/>
            <wp:docPr id="3" name="Picture 3" descr="\\internal.vic.gov.au\DEPI\HomeDirs1\jm7p\Desktop\Montague satelli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vic.gov.au\DEPI\HomeDirs1\jm7p\Desktop\Montague satellite imag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7095" cy="3592133"/>
                    </a:xfrm>
                    <a:prstGeom prst="rect">
                      <a:avLst/>
                    </a:prstGeom>
                    <a:noFill/>
                    <a:ln>
                      <a:noFill/>
                    </a:ln>
                  </pic:spPr>
                </pic:pic>
              </a:graphicData>
            </a:graphic>
          </wp:inline>
        </w:drawing>
      </w:r>
    </w:p>
    <w:p w:rsidR="00152469" w:rsidRDefault="00152469" w:rsidP="00152469">
      <w:pPr>
        <w:pStyle w:val="PPVBody"/>
        <w:rPr>
          <w:sz w:val="20"/>
          <w:szCs w:val="20"/>
        </w:rPr>
      </w:pPr>
      <w:r w:rsidRPr="00152469">
        <w:rPr>
          <w:sz w:val="20"/>
          <w:szCs w:val="20"/>
        </w:rPr>
        <w:t>Source: Google Maps</w:t>
      </w:r>
    </w:p>
    <w:p w:rsidR="00B10DAA" w:rsidRDefault="00B10DAA">
      <w:pPr>
        <w:spacing w:before="0"/>
        <w:jc w:val="left"/>
        <w:rPr>
          <w:rFonts w:eastAsia="Dotum"/>
          <w:b/>
          <w:kern w:val="32"/>
          <w:sz w:val="28"/>
          <w:szCs w:val="28"/>
        </w:rPr>
      </w:pPr>
      <w:r>
        <w:br w:type="page"/>
      </w:r>
    </w:p>
    <w:p w:rsidR="00443BFD" w:rsidRDefault="00443BFD" w:rsidP="00522C9C">
      <w:pPr>
        <w:pStyle w:val="Heading2"/>
        <w:tabs>
          <w:tab w:val="clear" w:pos="1440"/>
          <w:tab w:val="left" w:pos="851"/>
        </w:tabs>
      </w:pPr>
      <w:bookmarkStart w:id="18" w:name="_Toc519849246"/>
      <w:r>
        <w:lastRenderedPageBreak/>
        <w:t xml:space="preserve">Existing </w:t>
      </w:r>
      <w:r w:rsidR="00584ABA">
        <w:t>p</w:t>
      </w:r>
      <w:r>
        <w:t xml:space="preserve">lanning </w:t>
      </w:r>
      <w:r w:rsidR="00584ABA">
        <w:t>c</w:t>
      </w:r>
      <w:r w:rsidR="00E508F1">
        <w:t>ontrols</w:t>
      </w:r>
      <w:bookmarkEnd w:id="18"/>
    </w:p>
    <w:p w:rsidR="008A6A91" w:rsidRDefault="000B7EF2" w:rsidP="008A6A91">
      <w:pPr>
        <w:pStyle w:val="PPVBody"/>
      </w:pPr>
      <w:r>
        <w:t xml:space="preserve">Schedule 1 to the </w:t>
      </w:r>
      <w:r w:rsidR="001E6080">
        <w:t>Capital City Zone</w:t>
      </w:r>
      <w:r>
        <w:t xml:space="preserve"> (CCZZ) and</w:t>
      </w:r>
      <w:r w:rsidR="001E6080">
        <w:t xml:space="preserve"> Schedule </w:t>
      </w:r>
      <w:r>
        <w:t>30</w:t>
      </w:r>
      <w:r w:rsidR="001E6080">
        <w:t xml:space="preserve"> </w:t>
      </w:r>
      <w:r>
        <w:t>to the</w:t>
      </w:r>
      <w:r w:rsidR="001E6080">
        <w:t xml:space="preserve"> Design and Development Overlay</w:t>
      </w:r>
      <w:r w:rsidR="002A364A">
        <w:t xml:space="preserve"> </w:t>
      </w:r>
      <w:r>
        <w:t>(DDO)</w:t>
      </w:r>
      <w:r w:rsidR="001E6080">
        <w:t xml:space="preserve"> currently apply to </w:t>
      </w:r>
      <w:r>
        <w:t>Montague</w:t>
      </w:r>
      <w:r w:rsidR="00584ABA">
        <w:t>,</w:t>
      </w:r>
      <w:r w:rsidR="002A364A">
        <w:t xml:space="preserve"> through Amendment GC50</w:t>
      </w:r>
      <w:r>
        <w:t xml:space="preserve"> (Refer to Figure 2)</w:t>
      </w:r>
      <w:r w:rsidR="002A364A">
        <w:t>.</w:t>
      </w:r>
    </w:p>
    <w:p w:rsidR="00BE41B4" w:rsidRDefault="00BE41B4" w:rsidP="00BE41B4">
      <w:pPr>
        <w:pStyle w:val="Caption"/>
      </w:pPr>
      <w:bookmarkStart w:id="19" w:name="_Toc518994443"/>
      <w:r>
        <w:t xml:space="preserve">Figure </w:t>
      </w:r>
      <w:fldSimple w:instr=" SEQ Figure \* ARABIC ">
        <w:r w:rsidR="0028199F">
          <w:rPr>
            <w:noProof/>
          </w:rPr>
          <w:t>2</w:t>
        </w:r>
      </w:fldSimple>
      <w:r>
        <w:t xml:space="preserve">: </w:t>
      </w:r>
      <w:r w:rsidR="00D22840">
        <w:tab/>
      </w:r>
      <w:r>
        <w:t>Design and Development Overlay, Schedule 30</w:t>
      </w:r>
      <w:bookmarkEnd w:id="19"/>
    </w:p>
    <w:p w:rsidR="005B36E5" w:rsidRDefault="001E6080" w:rsidP="005B36E5">
      <w:pPr>
        <w:pStyle w:val="PPVBody"/>
        <w:keepNext/>
      </w:pPr>
      <w:r>
        <w:rPr>
          <w:noProof/>
        </w:rPr>
        <w:drawing>
          <wp:inline distT="0" distB="0" distL="0" distR="0" wp14:anchorId="74D9CCF8" wp14:editId="0332C026">
            <wp:extent cx="5759450" cy="374979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59450" cy="3749796"/>
                    </a:xfrm>
                    <a:prstGeom prst="rect">
                      <a:avLst/>
                    </a:prstGeom>
                  </pic:spPr>
                </pic:pic>
              </a:graphicData>
            </a:graphic>
          </wp:inline>
        </w:drawing>
      </w:r>
    </w:p>
    <w:p w:rsidR="00152469" w:rsidRDefault="002A364A" w:rsidP="00152469">
      <w:pPr>
        <w:pStyle w:val="PPVBody"/>
      </w:pPr>
      <w:r>
        <w:t>Under S</w:t>
      </w:r>
      <w:r w:rsidR="00152469">
        <w:t xml:space="preserve">chedule 30, Montague is split into six areas (A1-A6) with varied maximum building heights.  A6 is predominantly located in the northwest of the precinct, with a small section in the northeast </w:t>
      </w:r>
      <w:r>
        <w:t xml:space="preserve">also </w:t>
      </w:r>
      <w:r w:rsidR="00152469">
        <w:t xml:space="preserve">designated.  </w:t>
      </w:r>
      <w:r w:rsidR="004645E1">
        <w:t xml:space="preserve">A6 has </w:t>
      </w:r>
      <w:r w:rsidR="00584ABA">
        <w:t xml:space="preserve">a </w:t>
      </w:r>
      <w:r w:rsidR="00152469">
        <w:t xml:space="preserve">maximum height </w:t>
      </w:r>
      <w:r w:rsidR="004645E1">
        <w:t>of</w:t>
      </w:r>
      <w:r w:rsidR="00152469">
        <w:t xml:space="preserve"> 40 storeys, which contrasts with the proposed maximum heights of 24 storeys under the draft Amendment.</w:t>
      </w:r>
    </w:p>
    <w:p w:rsidR="00152469" w:rsidRDefault="00152469" w:rsidP="00152469">
      <w:pPr>
        <w:pStyle w:val="PPVBody"/>
      </w:pPr>
      <w:r>
        <w:t>A significant proportion of permit activity in the area has sought to utilise these existing maximum building heights in North Montague, with 13 permits and permit applica</w:t>
      </w:r>
      <w:r w:rsidR="00B10DAA">
        <w:t>tions for 40 storeys or higher.</w:t>
      </w:r>
    </w:p>
    <w:p w:rsidR="00D20F9D" w:rsidRDefault="00D20F9D" w:rsidP="008A6A91">
      <w:pPr>
        <w:pStyle w:val="PPVBody"/>
      </w:pPr>
      <w:r>
        <w:t xml:space="preserve">The current interim built form controls are shown in Table </w:t>
      </w:r>
      <w:r w:rsidR="00152469">
        <w:t>1</w:t>
      </w:r>
      <w:r>
        <w:t>.</w:t>
      </w:r>
    </w:p>
    <w:p w:rsidR="00D22840" w:rsidRDefault="00D22840" w:rsidP="00D22840">
      <w:pPr>
        <w:pStyle w:val="Caption"/>
      </w:pPr>
      <w:bookmarkStart w:id="20" w:name="_Toc519841828"/>
      <w:r>
        <w:t xml:space="preserve">Table </w:t>
      </w:r>
      <w:fldSimple w:instr=" SEQ Table \* ARABIC ">
        <w:r w:rsidR="0028199F">
          <w:rPr>
            <w:noProof/>
          </w:rPr>
          <w:t>1</w:t>
        </w:r>
      </w:fldSimple>
      <w:r>
        <w:t>:</w:t>
      </w:r>
      <w:r>
        <w:tab/>
        <w:t xml:space="preserve">Interim </w:t>
      </w:r>
      <w:r w:rsidR="003223A2">
        <w:t>built form controls (GC50)</w:t>
      </w:r>
      <w:bookmarkEnd w:id="20"/>
    </w:p>
    <w:tbl>
      <w:tblPr>
        <w:tblW w:w="4945"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ook w:val="0660" w:firstRow="1" w:lastRow="1" w:firstColumn="0" w:lastColumn="0" w:noHBand="1" w:noVBand="1"/>
      </w:tblPr>
      <w:tblGrid>
        <w:gridCol w:w="2054"/>
        <w:gridCol w:w="7130"/>
      </w:tblGrid>
      <w:tr w:rsidR="006D2E35" w:rsidRPr="00822760" w:rsidTr="006D2E35">
        <w:tc>
          <w:tcPr>
            <w:tcW w:w="1118" w:type="pct"/>
            <w:tcBorders>
              <w:top w:val="single" w:sz="18" w:space="0" w:color="595959" w:themeColor="text1" w:themeTint="A6"/>
              <w:bottom w:val="nil"/>
            </w:tcBorders>
            <w:shd w:val="clear" w:color="auto" w:fill="215868" w:themeFill="accent5" w:themeFillShade="80"/>
            <w:noWrap/>
          </w:tcPr>
          <w:p w:rsidR="006D2E35" w:rsidRPr="00822760" w:rsidRDefault="006D2E35" w:rsidP="004E163E">
            <w:pPr>
              <w:pStyle w:val="PPVTableHeader"/>
              <w:rPr>
                <w:sz w:val="22"/>
                <w:szCs w:val="22"/>
              </w:rPr>
            </w:pPr>
            <w:r>
              <w:rPr>
                <w:sz w:val="22"/>
                <w:szCs w:val="22"/>
              </w:rPr>
              <w:t>Built Form Element</w:t>
            </w:r>
          </w:p>
        </w:tc>
        <w:tc>
          <w:tcPr>
            <w:tcW w:w="3882" w:type="pct"/>
            <w:tcBorders>
              <w:top w:val="single" w:sz="18" w:space="0" w:color="595959" w:themeColor="text1" w:themeTint="A6"/>
              <w:bottom w:val="nil"/>
            </w:tcBorders>
            <w:shd w:val="clear" w:color="auto" w:fill="215868" w:themeFill="accent5" w:themeFillShade="80"/>
          </w:tcPr>
          <w:p w:rsidR="006D2E35" w:rsidRPr="00822760" w:rsidRDefault="006D2E35" w:rsidP="004E163E">
            <w:pPr>
              <w:pStyle w:val="PPVTableHeader"/>
              <w:rPr>
                <w:sz w:val="22"/>
                <w:szCs w:val="22"/>
              </w:rPr>
            </w:pPr>
            <w:r>
              <w:rPr>
                <w:sz w:val="22"/>
                <w:szCs w:val="22"/>
              </w:rPr>
              <w:t>Requirement</w:t>
            </w:r>
          </w:p>
        </w:tc>
      </w:tr>
      <w:tr w:rsidR="006D2E35" w:rsidRPr="004E051D" w:rsidTr="006D2E35">
        <w:tc>
          <w:tcPr>
            <w:tcW w:w="1118" w:type="pct"/>
            <w:tcBorders>
              <w:top w:val="nil"/>
              <w:bottom w:val="dotted" w:sz="4" w:space="0" w:color="7F7F7F" w:themeColor="text1" w:themeTint="80"/>
            </w:tcBorders>
            <w:noWrap/>
          </w:tcPr>
          <w:p w:rsidR="006D2E35" w:rsidRPr="004E051D" w:rsidRDefault="006D2E35" w:rsidP="006D2E35">
            <w:pPr>
              <w:pStyle w:val="PPVTableText"/>
            </w:pPr>
            <w:r>
              <w:t>Building height</w:t>
            </w:r>
          </w:p>
        </w:tc>
        <w:tc>
          <w:tcPr>
            <w:tcW w:w="3882" w:type="pct"/>
            <w:tcBorders>
              <w:top w:val="nil"/>
              <w:bottom w:val="dotted" w:sz="4" w:space="0" w:color="7F7F7F" w:themeColor="text1" w:themeTint="80"/>
            </w:tcBorders>
          </w:tcPr>
          <w:p w:rsidR="006D2E35" w:rsidRDefault="006D2E35" w:rsidP="006D2E35">
            <w:pPr>
              <w:pStyle w:val="PPVTableText"/>
            </w:pPr>
            <w:r>
              <w:t xml:space="preserve">Mandatory maximum: </w:t>
            </w:r>
          </w:p>
          <w:p w:rsidR="006D2E35" w:rsidRDefault="006D2E35" w:rsidP="006D2E35">
            <w:pPr>
              <w:pStyle w:val="PPVTableText"/>
            </w:pPr>
            <w:r>
              <w:t xml:space="preserve">A1 - 4 Storeys </w:t>
            </w:r>
          </w:p>
          <w:p w:rsidR="006D2E35" w:rsidRDefault="006D2E35" w:rsidP="006D2E35">
            <w:pPr>
              <w:pStyle w:val="PPVTableText"/>
            </w:pPr>
            <w:r>
              <w:t xml:space="preserve">A2 - 8 Storeys </w:t>
            </w:r>
          </w:p>
          <w:p w:rsidR="006D2E35" w:rsidRDefault="006D2E35" w:rsidP="006D2E35">
            <w:pPr>
              <w:pStyle w:val="PPVTableText"/>
            </w:pPr>
            <w:r>
              <w:t xml:space="preserve">A3 - 12 Storeys </w:t>
            </w:r>
          </w:p>
          <w:p w:rsidR="006D2E35" w:rsidRDefault="006D2E35" w:rsidP="006D2E35">
            <w:pPr>
              <w:pStyle w:val="PPVTableText"/>
            </w:pPr>
            <w:r>
              <w:t xml:space="preserve">A4 - 18 Storeys </w:t>
            </w:r>
          </w:p>
          <w:p w:rsidR="006D2E35" w:rsidRDefault="006D2E35" w:rsidP="006D2E35">
            <w:pPr>
              <w:pStyle w:val="PPVTableText"/>
            </w:pPr>
            <w:r>
              <w:t xml:space="preserve">A5 - 30 Storeys </w:t>
            </w:r>
          </w:p>
          <w:p w:rsidR="006D2E35" w:rsidRPr="004E051D" w:rsidRDefault="006D2E35" w:rsidP="006D2E35">
            <w:pPr>
              <w:pStyle w:val="PPVTableText"/>
            </w:pPr>
            <w:r>
              <w:t xml:space="preserve">A6 - 40 Storeys </w:t>
            </w:r>
          </w:p>
        </w:tc>
      </w:tr>
      <w:tr w:rsidR="006D2E35" w:rsidRPr="004E051D" w:rsidTr="006D2E35">
        <w:tc>
          <w:tcPr>
            <w:tcW w:w="1118" w:type="pct"/>
            <w:tcBorders>
              <w:top w:val="nil"/>
              <w:bottom w:val="dotted" w:sz="4" w:space="0" w:color="7F7F7F" w:themeColor="text1" w:themeTint="80"/>
            </w:tcBorders>
            <w:noWrap/>
          </w:tcPr>
          <w:p w:rsidR="006D2E35" w:rsidRPr="004E051D" w:rsidRDefault="006D2E35" w:rsidP="006D2E35">
            <w:pPr>
              <w:pStyle w:val="PPVTableText"/>
            </w:pPr>
            <w:r>
              <w:lastRenderedPageBreak/>
              <w:t>Street wall height</w:t>
            </w:r>
          </w:p>
        </w:tc>
        <w:tc>
          <w:tcPr>
            <w:tcW w:w="3882" w:type="pct"/>
            <w:tcBorders>
              <w:top w:val="nil"/>
              <w:bottom w:val="dotted" w:sz="4" w:space="0" w:color="7F7F7F" w:themeColor="text1" w:themeTint="80"/>
            </w:tcBorders>
          </w:tcPr>
          <w:p w:rsidR="006D2E35" w:rsidRPr="004E051D" w:rsidRDefault="006D2E35" w:rsidP="006D2E35">
            <w:pPr>
              <w:pStyle w:val="PPVTableText"/>
            </w:pPr>
            <w:r>
              <w:t xml:space="preserve">Mandatory maximum 5 storeys or </w:t>
            </w:r>
            <w:r w:rsidR="00D20F9D">
              <w:t xml:space="preserve">20 metres, whichever is lesser </w:t>
            </w:r>
          </w:p>
        </w:tc>
      </w:tr>
      <w:tr w:rsidR="006D2E35" w:rsidRPr="004E051D" w:rsidTr="006D2E35">
        <w:tc>
          <w:tcPr>
            <w:tcW w:w="1118" w:type="pct"/>
            <w:tcBorders>
              <w:top w:val="nil"/>
              <w:bottom w:val="dotted" w:sz="4" w:space="0" w:color="7F7F7F" w:themeColor="text1" w:themeTint="80"/>
            </w:tcBorders>
            <w:noWrap/>
          </w:tcPr>
          <w:p w:rsidR="006D2E35" w:rsidRPr="004E051D" w:rsidRDefault="006D2E35" w:rsidP="006D2E35">
            <w:pPr>
              <w:pStyle w:val="PPVTableText"/>
            </w:pPr>
            <w:r>
              <w:t>Tower setback</w:t>
            </w:r>
          </w:p>
        </w:tc>
        <w:tc>
          <w:tcPr>
            <w:tcW w:w="3882" w:type="pct"/>
            <w:tcBorders>
              <w:top w:val="nil"/>
              <w:bottom w:val="dotted" w:sz="4" w:space="0" w:color="7F7F7F" w:themeColor="text1" w:themeTint="80"/>
            </w:tcBorders>
          </w:tcPr>
          <w:p w:rsidR="006D2E35" w:rsidRDefault="006D2E35" w:rsidP="006D2E35">
            <w:pPr>
              <w:pStyle w:val="PPVTableText"/>
            </w:pPr>
            <w:r>
              <w:t xml:space="preserve">Mandatory minimum 10 metres to the street edge </w:t>
            </w:r>
          </w:p>
          <w:p w:rsidR="006D2E35" w:rsidRDefault="006D2E35" w:rsidP="006D2E35">
            <w:pPr>
              <w:pStyle w:val="PPVTableText"/>
            </w:pPr>
            <w:r>
              <w:t xml:space="preserve">Mandatory minimum 10 metres to all other boundaries </w:t>
            </w:r>
          </w:p>
          <w:p w:rsidR="006D2E35" w:rsidRPr="004E051D" w:rsidRDefault="006D2E35" w:rsidP="006D2E35">
            <w:pPr>
              <w:pStyle w:val="PPVTableText"/>
            </w:pPr>
            <w:r>
              <w:t xml:space="preserve">Setback can be taken from centre of laneway (if applicable) </w:t>
            </w:r>
          </w:p>
        </w:tc>
      </w:tr>
      <w:tr w:rsidR="006D2E35" w:rsidRPr="004E051D" w:rsidTr="006D2E35">
        <w:tc>
          <w:tcPr>
            <w:tcW w:w="1118" w:type="pct"/>
            <w:tcBorders>
              <w:top w:val="dotted" w:sz="4" w:space="0" w:color="7F7F7F" w:themeColor="text1" w:themeTint="80"/>
              <w:bottom w:val="single" w:sz="12" w:space="0" w:color="595959" w:themeColor="text1" w:themeTint="A6"/>
            </w:tcBorders>
            <w:noWrap/>
          </w:tcPr>
          <w:p w:rsidR="006D2E35" w:rsidRPr="004E051D" w:rsidRDefault="001B340C" w:rsidP="006D2E35">
            <w:pPr>
              <w:pStyle w:val="PPVTableText"/>
            </w:pPr>
            <w:r>
              <w:t>Tower separation</w:t>
            </w:r>
          </w:p>
        </w:tc>
        <w:tc>
          <w:tcPr>
            <w:tcW w:w="3882" w:type="pct"/>
            <w:tcBorders>
              <w:top w:val="dotted" w:sz="4" w:space="0" w:color="7F7F7F" w:themeColor="text1" w:themeTint="80"/>
              <w:bottom w:val="single" w:sz="12" w:space="0" w:color="595959" w:themeColor="text1" w:themeTint="A6"/>
            </w:tcBorders>
          </w:tcPr>
          <w:p w:rsidR="006D2E35" w:rsidRDefault="006D2E35" w:rsidP="006D2E35">
            <w:pPr>
              <w:pStyle w:val="PPVTableText"/>
            </w:pPr>
            <w:r>
              <w:t>Mandatory minimum 20 metres</w:t>
            </w:r>
          </w:p>
        </w:tc>
      </w:tr>
    </w:tbl>
    <w:p w:rsidR="00005B9B" w:rsidRDefault="00005B9B" w:rsidP="00522C9C">
      <w:pPr>
        <w:pStyle w:val="Heading2"/>
        <w:tabs>
          <w:tab w:val="clear" w:pos="1440"/>
          <w:tab w:val="left" w:pos="851"/>
        </w:tabs>
      </w:pPr>
      <w:bookmarkStart w:id="21" w:name="_Toc519849247"/>
      <w:r>
        <w:t xml:space="preserve">Planning </w:t>
      </w:r>
      <w:r w:rsidR="00D01D43">
        <w:t>p</w:t>
      </w:r>
      <w:r>
        <w:t xml:space="preserve">ermit </w:t>
      </w:r>
      <w:r w:rsidR="00D01D43">
        <w:t>a</w:t>
      </w:r>
      <w:r>
        <w:t>pplication history</w:t>
      </w:r>
      <w:bookmarkEnd w:id="21"/>
    </w:p>
    <w:p w:rsidR="000E1A26" w:rsidRDefault="00D20F9D" w:rsidP="000E1A26">
      <w:pPr>
        <w:pStyle w:val="PPVBody"/>
      </w:pPr>
      <w:r>
        <w:t xml:space="preserve">Montague is the </w:t>
      </w:r>
      <w:r w:rsidR="00A5487E">
        <w:t xml:space="preserve">most active of the </w:t>
      </w:r>
      <w:r w:rsidR="004645E1">
        <w:t xml:space="preserve">Fishermans Bend </w:t>
      </w:r>
      <w:r w:rsidR="00662A71">
        <w:t>p</w:t>
      </w:r>
      <w:r w:rsidR="00A5487E">
        <w:t xml:space="preserve">recincts and </w:t>
      </w:r>
      <w:r>
        <w:t xml:space="preserve">has had </w:t>
      </w:r>
      <w:r w:rsidR="004E366C">
        <w:t>a significant</w:t>
      </w:r>
      <w:r w:rsidR="009B106D">
        <w:t xml:space="preserve"> number of </w:t>
      </w:r>
      <w:r>
        <w:t xml:space="preserve">planning permit </w:t>
      </w:r>
      <w:r w:rsidR="00A5487E">
        <w:t xml:space="preserve">approvals and </w:t>
      </w:r>
      <w:r>
        <w:t>application</w:t>
      </w:r>
      <w:r w:rsidR="009B106D">
        <w:t>s</w:t>
      </w:r>
      <w:r w:rsidR="00A5487E">
        <w:t>.  C</w:t>
      </w:r>
      <w:r w:rsidR="00C9586A">
        <w:t>onsequently,</w:t>
      </w:r>
      <w:r w:rsidR="004645E1">
        <w:t xml:space="preserve"> </w:t>
      </w:r>
      <w:r w:rsidR="00F73890">
        <w:t>Montague</w:t>
      </w:r>
      <w:r w:rsidR="00C9586A">
        <w:t xml:space="preserve"> is under the most </w:t>
      </w:r>
      <w:r w:rsidR="00662A71">
        <w:t xml:space="preserve">pressure </w:t>
      </w:r>
      <w:r w:rsidR="00C9586A">
        <w:t>regarding potential development opportunities.</w:t>
      </w:r>
    </w:p>
    <w:p w:rsidR="007907A8" w:rsidRDefault="00CD2A1D" w:rsidP="000E1A26">
      <w:pPr>
        <w:pStyle w:val="PPVBody"/>
      </w:pPr>
      <w:r>
        <w:t xml:space="preserve">There are currently 16 </w:t>
      </w:r>
      <w:r w:rsidR="002A364A">
        <w:t xml:space="preserve">existing </w:t>
      </w:r>
      <w:r>
        <w:t>permits</w:t>
      </w:r>
      <w:r w:rsidR="007168E6">
        <w:t xml:space="preserve"> </w:t>
      </w:r>
      <w:r w:rsidR="002A364A">
        <w:t>as detailed in Table 2.</w:t>
      </w:r>
    </w:p>
    <w:p w:rsidR="007D0EA2" w:rsidRDefault="007D0EA2" w:rsidP="007D0EA2">
      <w:pPr>
        <w:pStyle w:val="Caption"/>
      </w:pPr>
      <w:bookmarkStart w:id="22" w:name="_Toc519841829"/>
      <w:r>
        <w:t xml:space="preserve">Table </w:t>
      </w:r>
      <w:fldSimple w:instr=" SEQ Table \* ARABIC ">
        <w:r w:rsidR="0028199F">
          <w:rPr>
            <w:noProof/>
          </w:rPr>
          <w:t>2</w:t>
        </w:r>
      </w:fldSimple>
      <w:r>
        <w:t>:</w:t>
      </w:r>
      <w:r>
        <w:tab/>
      </w:r>
      <w:r w:rsidR="00EA0809">
        <w:t>Existing</w:t>
      </w:r>
      <w:r>
        <w:t xml:space="preserve"> Permits</w:t>
      </w:r>
      <w:bookmarkEnd w:id="22"/>
    </w:p>
    <w:tbl>
      <w:tblPr>
        <w:tblW w:w="9062" w:type="dxa"/>
        <w:tblInd w:w="118" w:type="dxa"/>
        <w:tblBorders>
          <w:bottom w:val="single" w:sz="12" w:space="0" w:color="215868"/>
          <w:insideH w:val="dotted" w:sz="4" w:space="0" w:color="auto"/>
        </w:tblBorders>
        <w:tblLayout w:type="fixed"/>
        <w:tblLook w:val="04A0" w:firstRow="1" w:lastRow="0" w:firstColumn="1" w:lastColumn="0" w:noHBand="0" w:noVBand="1"/>
      </w:tblPr>
      <w:tblGrid>
        <w:gridCol w:w="2534"/>
        <w:gridCol w:w="1276"/>
        <w:gridCol w:w="3551"/>
        <w:gridCol w:w="1701"/>
      </w:tblGrid>
      <w:tr w:rsidR="007D0EA2" w:rsidRPr="0035264D" w:rsidTr="007D0EA2">
        <w:trPr>
          <w:cantSplit/>
          <w:trHeight w:val="422"/>
          <w:tblHeader/>
        </w:trPr>
        <w:tc>
          <w:tcPr>
            <w:tcW w:w="2534" w:type="dxa"/>
            <w:tcBorders>
              <w:top w:val="nil"/>
              <w:bottom w:val="dotted" w:sz="4" w:space="0" w:color="auto"/>
            </w:tcBorders>
            <w:shd w:val="clear" w:color="auto" w:fill="215868"/>
            <w:vAlign w:val="bottom"/>
            <w:hideMark/>
          </w:tcPr>
          <w:p w:rsidR="007D0EA2" w:rsidRPr="0035264D" w:rsidRDefault="007D0EA2" w:rsidP="007D0EA2">
            <w:pPr>
              <w:pStyle w:val="PPVTableHeader"/>
            </w:pPr>
            <w:r w:rsidRPr="0035264D">
              <w:t>Address</w:t>
            </w:r>
          </w:p>
        </w:tc>
        <w:tc>
          <w:tcPr>
            <w:tcW w:w="1276" w:type="dxa"/>
            <w:tcBorders>
              <w:top w:val="nil"/>
              <w:bottom w:val="dotted" w:sz="4" w:space="0" w:color="auto"/>
            </w:tcBorders>
            <w:shd w:val="clear" w:color="auto" w:fill="215868"/>
            <w:vAlign w:val="bottom"/>
            <w:hideMark/>
          </w:tcPr>
          <w:p w:rsidR="007D0EA2" w:rsidRPr="0035264D" w:rsidRDefault="007D0EA2" w:rsidP="007D0EA2">
            <w:pPr>
              <w:pStyle w:val="PPVTableHeader"/>
            </w:pPr>
            <w:r>
              <w:t>Submitter</w:t>
            </w:r>
          </w:p>
        </w:tc>
        <w:tc>
          <w:tcPr>
            <w:tcW w:w="3551" w:type="dxa"/>
            <w:tcBorders>
              <w:top w:val="nil"/>
              <w:bottom w:val="dotted" w:sz="4" w:space="0" w:color="auto"/>
            </w:tcBorders>
            <w:shd w:val="clear" w:color="auto" w:fill="215868"/>
            <w:vAlign w:val="bottom"/>
            <w:hideMark/>
          </w:tcPr>
          <w:p w:rsidR="007D0EA2" w:rsidRPr="0035264D" w:rsidRDefault="007D0EA2" w:rsidP="007D0EA2">
            <w:pPr>
              <w:pStyle w:val="PPVTableHeader"/>
            </w:pPr>
            <w:r w:rsidRPr="0035264D">
              <w:t>Permit</w:t>
            </w:r>
          </w:p>
        </w:tc>
        <w:tc>
          <w:tcPr>
            <w:tcW w:w="1701" w:type="dxa"/>
            <w:tcBorders>
              <w:top w:val="nil"/>
              <w:bottom w:val="dotted" w:sz="4" w:space="0" w:color="auto"/>
            </w:tcBorders>
            <w:shd w:val="clear" w:color="auto" w:fill="215868"/>
            <w:vAlign w:val="bottom"/>
          </w:tcPr>
          <w:p w:rsidR="007D0EA2" w:rsidRDefault="007D0EA2" w:rsidP="007D0EA2">
            <w:pPr>
              <w:pStyle w:val="PPVTableHeader"/>
              <w:rPr>
                <w:rFonts w:ascii="Times New Roman" w:hAnsi="Times New Roman" w:cs="Times New Roman"/>
              </w:rPr>
            </w:pPr>
            <w:r>
              <w:t>Proposed FAR</w:t>
            </w:r>
          </w:p>
        </w:tc>
      </w:tr>
      <w:tr w:rsidR="007D0EA2" w:rsidRPr="0035264D" w:rsidTr="007D0EA2">
        <w:trPr>
          <w:cantSplit/>
          <w:trHeight w:val="315"/>
        </w:trPr>
        <w:tc>
          <w:tcPr>
            <w:tcW w:w="2534" w:type="dxa"/>
            <w:tcBorders>
              <w:top w:val="dotted" w:sz="4" w:space="0" w:color="auto"/>
            </w:tcBorders>
            <w:shd w:val="clear" w:color="auto" w:fill="auto"/>
            <w:vAlign w:val="center"/>
            <w:hideMark/>
          </w:tcPr>
          <w:p w:rsidR="007D0EA2" w:rsidRPr="002D32A6" w:rsidRDefault="007D0EA2" w:rsidP="007D0EA2">
            <w:pPr>
              <w:pStyle w:val="PPVTableText"/>
              <w:rPr>
                <w:sz w:val="20"/>
                <w:szCs w:val="20"/>
              </w:rPr>
            </w:pPr>
            <w:r w:rsidRPr="002D32A6">
              <w:rPr>
                <w:sz w:val="20"/>
                <w:szCs w:val="20"/>
              </w:rPr>
              <w:t>199-201 Normanby Rd</w:t>
            </w:r>
          </w:p>
        </w:tc>
        <w:tc>
          <w:tcPr>
            <w:tcW w:w="1276" w:type="dxa"/>
            <w:tcBorders>
              <w:top w:val="dotted" w:sz="4" w:space="0" w:color="auto"/>
            </w:tcBorders>
            <w:shd w:val="clear" w:color="auto" w:fill="auto"/>
            <w:vAlign w:val="center"/>
            <w:hideMark/>
          </w:tcPr>
          <w:p w:rsidR="007D0EA2" w:rsidRPr="002D32A6" w:rsidRDefault="007D0EA2" w:rsidP="007D0EA2">
            <w:pPr>
              <w:pStyle w:val="PPVTableText"/>
              <w:rPr>
                <w:sz w:val="20"/>
                <w:szCs w:val="20"/>
              </w:rPr>
            </w:pPr>
            <w:r w:rsidRPr="002D32A6">
              <w:rPr>
                <w:sz w:val="20"/>
                <w:szCs w:val="20"/>
              </w:rPr>
              <w:t>186</w:t>
            </w:r>
          </w:p>
        </w:tc>
        <w:tc>
          <w:tcPr>
            <w:tcW w:w="3551" w:type="dxa"/>
            <w:tcBorders>
              <w:top w:val="dotted" w:sz="4" w:space="0" w:color="auto"/>
            </w:tcBorders>
            <w:shd w:val="clear" w:color="auto" w:fill="auto"/>
            <w:vAlign w:val="center"/>
            <w:hideMark/>
          </w:tcPr>
          <w:p w:rsidR="007D0EA2" w:rsidRPr="002D32A6" w:rsidRDefault="007D0EA2" w:rsidP="007D0EA2">
            <w:pPr>
              <w:pStyle w:val="PPVTableText"/>
              <w:rPr>
                <w:sz w:val="20"/>
                <w:szCs w:val="20"/>
              </w:rPr>
            </w:pPr>
            <w:r w:rsidRPr="002D32A6">
              <w:rPr>
                <w:sz w:val="20"/>
                <w:szCs w:val="20"/>
              </w:rPr>
              <w:t xml:space="preserve">40 storeys/125.4m </w:t>
            </w:r>
          </w:p>
        </w:tc>
        <w:tc>
          <w:tcPr>
            <w:tcW w:w="1701" w:type="dxa"/>
            <w:tcBorders>
              <w:top w:val="dotted" w:sz="4" w:space="0" w:color="auto"/>
            </w:tcBorders>
            <w:shd w:val="clear" w:color="auto" w:fill="auto"/>
            <w:vAlign w:val="center"/>
          </w:tcPr>
          <w:p w:rsidR="007D0EA2" w:rsidRPr="002D32A6" w:rsidRDefault="007D0EA2" w:rsidP="007D0EA2">
            <w:pPr>
              <w:pStyle w:val="PPVTableText"/>
              <w:rPr>
                <w:sz w:val="20"/>
                <w:szCs w:val="20"/>
              </w:rPr>
            </w:pPr>
            <w:r w:rsidRPr="002D32A6">
              <w:rPr>
                <w:sz w:val="20"/>
                <w:szCs w:val="20"/>
              </w:rPr>
              <w:t>6.3:1 (core)</w:t>
            </w:r>
          </w:p>
        </w:tc>
      </w:tr>
      <w:tr w:rsidR="007D0EA2" w:rsidRPr="0035264D" w:rsidTr="007D0EA2">
        <w:trPr>
          <w:cantSplit/>
          <w:trHeight w:val="315"/>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202-214 Normanby Rd</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137</w:t>
            </w:r>
          </w:p>
        </w:tc>
        <w:tc>
          <w:tcPr>
            <w:tcW w:w="3551" w:type="dxa"/>
            <w:shd w:val="clear" w:color="auto" w:fill="auto"/>
            <w:vAlign w:val="center"/>
            <w:hideMark/>
          </w:tcPr>
          <w:p w:rsidR="007D0EA2" w:rsidRPr="002D32A6" w:rsidRDefault="007D0EA2" w:rsidP="007D0EA2">
            <w:pPr>
              <w:pStyle w:val="PPVTableText"/>
              <w:rPr>
                <w:sz w:val="20"/>
                <w:szCs w:val="20"/>
              </w:rPr>
            </w:pPr>
            <w:r w:rsidRPr="002D32A6">
              <w:rPr>
                <w:sz w:val="20"/>
                <w:szCs w:val="20"/>
              </w:rPr>
              <w:t>40 storeys/140.8m</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6.3:1 (core)</w:t>
            </w:r>
          </w:p>
        </w:tc>
      </w:tr>
      <w:tr w:rsidR="007D0EA2" w:rsidRPr="0035264D" w:rsidTr="007D0EA2">
        <w:trPr>
          <w:cantSplit/>
          <w:trHeight w:val="315"/>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228-238 Normanby Rd</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120</w:t>
            </w:r>
          </w:p>
        </w:tc>
        <w:tc>
          <w:tcPr>
            <w:tcW w:w="3551" w:type="dxa"/>
            <w:shd w:val="clear" w:color="auto" w:fill="auto"/>
            <w:vAlign w:val="center"/>
            <w:hideMark/>
          </w:tcPr>
          <w:p w:rsidR="007D0EA2" w:rsidRPr="002D32A6" w:rsidRDefault="007D0EA2" w:rsidP="007D0EA2">
            <w:pPr>
              <w:pStyle w:val="PPVTableText"/>
              <w:rPr>
                <w:sz w:val="20"/>
                <w:szCs w:val="20"/>
              </w:rPr>
            </w:pPr>
            <w:r w:rsidRPr="002D32A6">
              <w:rPr>
                <w:sz w:val="20"/>
                <w:szCs w:val="20"/>
              </w:rPr>
              <w:t xml:space="preserve">40-50 storeys/165.1m </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6.3:1 (core)</w:t>
            </w:r>
          </w:p>
        </w:tc>
      </w:tr>
      <w:tr w:rsidR="007D0EA2" w:rsidRPr="0035264D" w:rsidTr="007D0EA2">
        <w:trPr>
          <w:cantSplit/>
          <w:trHeight w:val="315"/>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245-251 Normanby Rd</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135</w:t>
            </w:r>
          </w:p>
        </w:tc>
        <w:tc>
          <w:tcPr>
            <w:tcW w:w="3551" w:type="dxa"/>
            <w:shd w:val="clear" w:color="auto" w:fill="auto"/>
            <w:vAlign w:val="center"/>
            <w:hideMark/>
          </w:tcPr>
          <w:p w:rsidR="007D0EA2" w:rsidRPr="002D32A6" w:rsidRDefault="007D0EA2" w:rsidP="007D0EA2">
            <w:pPr>
              <w:pStyle w:val="PPVTableText"/>
              <w:rPr>
                <w:sz w:val="20"/>
                <w:szCs w:val="20"/>
              </w:rPr>
            </w:pPr>
            <w:r w:rsidRPr="002D32A6">
              <w:rPr>
                <w:sz w:val="20"/>
                <w:szCs w:val="20"/>
              </w:rPr>
              <w:t>40 storeys/134.1m</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6.3:1 (core)</w:t>
            </w:r>
          </w:p>
        </w:tc>
      </w:tr>
      <w:tr w:rsidR="007D0EA2" w:rsidRPr="0035264D" w:rsidTr="007D0EA2">
        <w:trPr>
          <w:cantSplit/>
          <w:trHeight w:val="315"/>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253-273 Normanby Rd</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185</w:t>
            </w:r>
          </w:p>
        </w:tc>
        <w:tc>
          <w:tcPr>
            <w:tcW w:w="3551" w:type="dxa"/>
            <w:shd w:val="clear" w:color="auto" w:fill="auto"/>
            <w:vAlign w:val="center"/>
            <w:hideMark/>
          </w:tcPr>
          <w:p w:rsidR="007D0EA2" w:rsidRPr="002D32A6" w:rsidRDefault="007D0EA2" w:rsidP="007D0EA2">
            <w:pPr>
              <w:pStyle w:val="PPVTableText"/>
              <w:rPr>
                <w:sz w:val="20"/>
                <w:szCs w:val="20"/>
              </w:rPr>
            </w:pPr>
            <w:r w:rsidRPr="002D32A6">
              <w:rPr>
                <w:sz w:val="20"/>
                <w:szCs w:val="20"/>
              </w:rPr>
              <w:t xml:space="preserve">36-40 storeys/135.9m </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6.3:1 (core)</w:t>
            </w:r>
          </w:p>
        </w:tc>
      </w:tr>
      <w:tr w:rsidR="007D0EA2" w:rsidRPr="0035264D" w:rsidTr="007D0EA2">
        <w:trPr>
          <w:cantSplit/>
          <w:trHeight w:val="330"/>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134-142 Ferrars St</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No sub</w:t>
            </w:r>
          </w:p>
        </w:tc>
        <w:tc>
          <w:tcPr>
            <w:tcW w:w="3551" w:type="dxa"/>
            <w:shd w:val="clear" w:color="auto" w:fill="auto"/>
            <w:vAlign w:val="center"/>
            <w:hideMark/>
          </w:tcPr>
          <w:p w:rsidR="007D0EA2" w:rsidRPr="002D32A6" w:rsidRDefault="007D0EA2" w:rsidP="007D0EA2">
            <w:pPr>
              <w:pStyle w:val="PPVTableText"/>
              <w:rPr>
                <w:sz w:val="20"/>
                <w:szCs w:val="20"/>
              </w:rPr>
            </w:pPr>
            <w:r w:rsidRPr="002D32A6">
              <w:rPr>
                <w:sz w:val="20"/>
                <w:szCs w:val="20"/>
              </w:rPr>
              <w:t>18 storeys/66.4m</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6.3:1 (core)</w:t>
            </w:r>
          </w:p>
        </w:tc>
      </w:tr>
      <w:tr w:rsidR="007D0EA2" w:rsidRPr="0035264D" w:rsidTr="007D0EA2">
        <w:trPr>
          <w:cantSplit/>
          <w:trHeight w:val="315"/>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171-183 Ferrars St</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93</w:t>
            </w:r>
          </w:p>
        </w:tc>
        <w:tc>
          <w:tcPr>
            <w:tcW w:w="3551" w:type="dxa"/>
            <w:shd w:val="clear" w:color="auto" w:fill="auto"/>
            <w:vAlign w:val="center"/>
            <w:hideMark/>
          </w:tcPr>
          <w:p w:rsidR="007D0EA2" w:rsidRPr="002D32A6" w:rsidRDefault="007D0EA2" w:rsidP="007D0EA2">
            <w:pPr>
              <w:pStyle w:val="PPVTableText"/>
              <w:rPr>
                <w:sz w:val="20"/>
                <w:szCs w:val="20"/>
              </w:rPr>
            </w:pPr>
            <w:r w:rsidRPr="002D32A6">
              <w:rPr>
                <w:sz w:val="20"/>
                <w:szCs w:val="20"/>
              </w:rPr>
              <w:t>20 storeys/88.7m</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6.3:1 (core)</w:t>
            </w:r>
          </w:p>
        </w:tc>
      </w:tr>
      <w:tr w:rsidR="007D0EA2" w:rsidRPr="0035264D" w:rsidTr="007D0EA2">
        <w:trPr>
          <w:cantSplit/>
          <w:trHeight w:val="315"/>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51-59 Thistlethwaite St</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No sub</w:t>
            </w:r>
          </w:p>
        </w:tc>
        <w:tc>
          <w:tcPr>
            <w:tcW w:w="3551" w:type="dxa"/>
            <w:shd w:val="clear" w:color="auto" w:fill="auto"/>
            <w:vAlign w:val="center"/>
            <w:hideMark/>
          </w:tcPr>
          <w:p w:rsidR="007D0EA2" w:rsidRPr="002D32A6" w:rsidRDefault="004C60E0" w:rsidP="007D0EA2">
            <w:pPr>
              <w:pStyle w:val="PPVTableText"/>
              <w:rPr>
                <w:sz w:val="20"/>
                <w:szCs w:val="20"/>
              </w:rPr>
            </w:pPr>
            <w:r w:rsidRPr="002D32A6">
              <w:rPr>
                <w:sz w:val="20"/>
                <w:szCs w:val="20"/>
              </w:rPr>
              <w:t>8 storeys</w:t>
            </w:r>
            <w:r w:rsidR="007D0EA2" w:rsidRPr="002D32A6">
              <w:rPr>
                <w:sz w:val="20"/>
                <w:szCs w:val="20"/>
              </w:rPr>
              <w:t>/26.9m</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3.6:1 (non-core)</w:t>
            </w:r>
          </w:p>
        </w:tc>
      </w:tr>
      <w:tr w:rsidR="007D0EA2" w:rsidRPr="0035264D" w:rsidTr="007D0EA2">
        <w:trPr>
          <w:cantSplit/>
          <w:trHeight w:val="315"/>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6-78 Buckhurst St</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w:t>
            </w:r>
          </w:p>
        </w:tc>
        <w:tc>
          <w:tcPr>
            <w:tcW w:w="3551" w:type="dxa"/>
            <w:shd w:val="clear" w:color="auto" w:fill="auto"/>
            <w:vAlign w:val="center"/>
            <w:hideMark/>
          </w:tcPr>
          <w:p w:rsidR="007D0EA2" w:rsidRPr="002D32A6" w:rsidRDefault="007D0EA2" w:rsidP="007D0EA2">
            <w:pPr>
              <w:pStyle w:val="PPVTableText"/>
              <w:rPr>
                <w:sz w:val="20"/>
                <w:szCs w:val="20"/>
              </w:rPr>
            </w:pPr>
            <w:r w:rsidRPr="002D32A6">
              <w:rPr>
                <w:sz w:val="20"/>
                <w:szCs w:val="20"/>
              </w:rPr>
              <w:t>30 storeys/102.1m</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6.3:1 (core)</w:t>
            </w:r>
          </w:p>
        </w:tc>
      </w:tr>
      <w:tr w:rsidR="007D0EA2" w:rsidRPr="0035264D" w:rsidTr="007D0EA2">
        <w:trPr>
          <w:cantSplit/>
          <w:trHeight w:val="315"/>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134 – 150 Buckhurst St</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131.1</w:t>
            </w:r>
          </w:p>
        </w:tc>
        <w:tc>
          <w:tcPr>
            <w:tcW w:w="3551" w:type="dxa"/>
            <w:shd w:val="clear" w:color="auto" w:fill="auto"/>
            <w:vAlign w:val="center"/>
            <w:hideMark/>
          </w:tcPr>
          <w:p w:rsidR="007D0EA2" w:rsidRPr="002D32A6" w:rsidRDefault="007D0EA2" w:rsidP="007D0EA2">
            <w:pPr>
              <w:pStyle w:val="PPVTableText"/>
              <w:rPr>
                <w:sz w:val="20"/>
                <w:szCs w:val="20"/>
              </w:rPr>
            </w:pPr>
            <w:r w:rsidRPr="002D32A6">
              <w:rPr>
                <w:sz w:val="20"/>
                <w:szCs w:val="20"/>
              </w:rPr>
              <w:t>30 storeys/96.5m</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6.3:1 (core)</w:t>
            </w:r>
          </w:p>
        </w:tc>
      </w:tr>
      <w:tr w:rsidR="007D0EA2" w:rsidRPr="0035264D" w:rsidTr="007D0EA2">
        <w:trPr>
          <w:cantSplit/>
          <w:trHeight w:val="85"/>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15-85 Gladstone St</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No sub</w:t>
            </w:r>
          </w:p>
        </w:tc>
        <w:tc>
          <w:tcPr>
            <w:tcW w:w="3551" w:type="dxa"/>
            <w:shd w:val="clear" w:color="auto" w:fill="auto"/>
            <w:vAlign w:val="center"/>
            <w:hideMark/>
          </w:tcPr>
          <w:p w:rsidR="007D0EA2" w:rsidRPr="002D32A6" w:rsidRDefault="007D0EA2" w:rsidP="007D0EA2">
            <w:pPr>
              <w:pStyle w:val="PPVTableText"/>
              <w:rPr>
                <w:sz w:val="20"/>
                <w:szCs w:val="20"/>
              </w:rPr>
            </w:pPr>
            <w:r w:rsidRPr="002D32A6">
              <w:rPr>
                <w:sz w:val="20"/>
                <w:szCs w:val="20"/>
              </w:rPr>
              <w:t xml:space="preserve">27-30 storeys/99m </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6.3:1 (core)</w:t>
            </w:r>
          </w:p>
        </w:tc>
      </w:tr>
      <w:tr w:rsidR="007D0EA2" w:rsidRPr="0035264D" w:rsidTr="007D0EA2">
        <w:trPr>
          <w:cantSplit/>
          <w:trHeight w:val="85"/>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89 Gladstone St</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No sub</w:t>
            </w:r>
          </w:p>
        </w:tc>
        <w:tc>
          <w:tcPr>
            <w:tcW w:w="3551" w:type="dxa"/>
            <w:shd w:val="clear" w:color="auto" w:fill="auto"/>
            <w:vAlign w:val="center"/>
            <w:hideMark/>
          </w:tcPr>
          <w:p w:rsidR="007D0EA2" w:rsidRPr="002D32A6" w:rsidRDefault="004C60E0" w:rsidP="007D0EA2">
            <w:pPr>
              <w:pStyle w:val="PPVTableText"/>
              <w:rPr>
                <w:sz w:val="20"/>
                <w:szCs w:val="20"/>
              </w:rPr>
            </w:pPr>
            <w:r w:rsidRPr="002D32A6">
              <w:rPr>
                <w:sz w:val="20"/>
                <w:szCs w:val="20"/>
              </w:rPr>
              <w:t>30 storeys/99m (c</w:t>
            </w:r>
            <w:r w:rsidR="007D0EA2" w:rsidRPr="002D32A6">
              <w:rPr>
                <w:sz w:val="20"/>
                <w:szCs w:val="20"/>
              </w:rPr>
              <w:t>onstructed)</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6.3:1 (core)</w:t>
            </w:r>
          </w:p>
        </w:tc>
      </w:tr>
      <w:tr w:rsidR="007D0EA2" w:rsidRPr="0035264D" w:rsidTr="007D0EA2">
        <w:trPr>
          <w:cantSplit/>
          <w:trHeight w:val="85"/>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179 Gladstone St</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No sub</w:t>
            </w:r>
          </w:p>
        </w:tc>
        <w:tc>
          <w:tcPr>
            <w:tcW w:w="3551" w:type="dxa"/>
            <w:shd w:val="clear" w:color="auto" w:fill="auto"/>
            <w:vAlign w:val="center"/>
            <w:hideMark/>
          </w:tcPr>
          <w:p w:rsidR="007D0EA2" w:rsidRPr="002D32A6" w:rsidRDefault="007D0EA2" w:rsidP="007D0EA2">
            <w:pPr>
              <w:pStyle w:val="PPVTableText"/>
              <w:rPr>
                <w:sz w:val="20"/>
                <w:szCs w:val="20"/>
              </w:rPr>
            </w:pPr>
            <w:r w:rsidRPr="002D32A6">
              <w:rPr>
                <w:sz w:val="20"/>
                <w:szCs w:val="20"/>
              </w:rPr>
              <w:t>7 storeys/</w:t>
            </w:r>
            <w:r w:rsidR="004C60E0" w:rsidRPr="002D32A6">
              <w:rPr>
                <w:sz w:val="20"/>
                <w:szCs w:val="20"/>
              </w:rPr>
              <w:t>23.7m (e</w:t>
            </w:r>
            <w:r w:rsidRPr="002D32A6">
              <w:rPr>
                <w:sz w:val="20"/>
                <w:szCs w:val="20"/>
              </w:rPr>
              <w:t>xpired)</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3.6:1 (non-core)</w:t>
            </w:r>
          </w:p>
        </w:tc>
      </w:tr>
      <w:tr w:rsidR="007D0EA2" w:rsidRPr="0035264D" w:rsidTr="007D0EA2">
        <w:trPr>
          <w:cantSplit/>
          <w:trHeight w:val="85"/>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165-167 Gladstone St</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No sub</w:t>
            </w:r>
          </w:p>
        </w:tc>
        <w:tc>
          <w:tcPr>
            <w:tcW w:w="3551" w:type="dxa"/>
            <w:shd w:val="clear" w:color="auto" w:fill="auto"/>
            <w:vAlign w:val="center"/>
            <w:hideMark/>
          </w:tcPr>
          <w:p w:rsidR="007D0EA2" w:rsidRPr="002D32A6" w:rsidRDefault="007D0EA2" w:rsidP="007D0EA2">
            <w:pPr>
              <w:pStyle w:val="PPVTableText"/>
              <w:rPr>
                <w:sz w:val="20"/>
                <w:szCs w:val="20"/>
              </w:rPr>
            </w:pPr>
            <w:r w:rsidRPr="002D32A6">
              <w:rPr>
                <w:sz w:val="20"/>
                <w:szCs w:val="20"/>
              </w:rPr>
              <w:t>8 storeys/27.5m</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6.3:1 (core)</w:t>
            </w:r>
          </w:p>
        </w:tc>
      </w:tr>
      <w:tr w:rsidR="007D0EA2" w:rsidRPr="0035264D" w:rsidTr="007D0EA2">
        <w:trPr>
          <w:cantSplit/>
          <w:trHeight w:val="154"/>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10-16 Boundary St</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No sub</w:t>
            </w:r>
          </w:p>
        </w:tc>
        <w:tc>
          <w:tcPr>
            <w:tcW w:w="3551" w:type="dxa"/>
            <w:shd w:val="clear" w:color="auto" w:fill="auto"/>
            <w:vAlign w:val="center"/>
            <w:hideMark/>
          </w:tcPr>
          <w:p w:rsidR="007D0EA2" w:rsidRPr="002D32A6" w:rsidRDefault="007D0EA2" w:rsidP="007D0EA2">
            <w:pPr>
              <w:pStyle w:val="PPVTableText"/>
              <w:rPr>
                <w:sz w:val="20"/>
                <w:szCs w:val="20"/>
              </w:rPr>
            </w:pPr>
            <w:r w:rsidRPr="002D32A6">
              <w:rPr>
                <w:sz w:val="20"/>
                <w:szCs w:val="20"/>
              </w:rPr>
              <w:t>4 storeys/13.3m</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3.6:1 (non-core)</w:t>
            </w:r>
          </w:p>
        </w:tc>
      </w:tr>
      <w:tr w:rsidR="007D0EA2" w:rsidRPr="0035264D" w:rsidTr="007D0EA2">
        <w:trPr>
          <w:cantSplit/>
          <w:trHeight w:val="85"/>
        </w:trPr>
        <w:tc>
          <w:tcPr>
            <w:tcW w:w="253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15-35 Thistlethwaite St</w:t>
            </w:r>
          </w:p>
        </w:tc>
        <w:tc>
          <w:tcPr>
            <w:tcW w:w="1276" w:type="dxa"/>
            <w:shd w:val="clear" w:color="auto" w:fill="auto"/>
            <w:vAlign w:val="center"/>
            <w:hideMark/>
          </w:tcPr>
          <w:p w:rsidR="007D0EA2" w:rsidRPr="002D32A6" w:rsidRDefault="007D0EA2" w:rsidP="007D0EA2">
            <w:pPr>
              <w:pStyle w:val="PPVTableText"/>
              <w:rPr>
                <w:sz w:val="20"/>
                <w:szCs w:val="20"/>
              </w:rPr>
            </w:pPr>
            <w:r w:rsidRPr="002D32A6">
              <w:rPr>
                <w:sz w:val="20"/>
                <w:szCs w:val="20"/>
              </w:rPr>
              <w:t>No sub</w:t>
            </w:r>
          </w:p>
        </w:tc>
        <w:tc>
          <w:tcPr>
            <w:tcW w:w="3551" w:type="dxa"/>
            <w:shd w:val="clear" w:color="auto" w:fill="auto"/>
            <w:vAlign w:val="center"/>
            <w:hideMark/>
          </w:tcPr>
          <w:p w:rsidR="007D0EA2" w:rsidRPr="002D32A6" w:rsidRDefault="007D0EA2" w:rsidP="007D0EA2">
            <w:pPr>
              <w:pStyle w:val="PPVTableText"/>
              <w:rPr>
                <w:sz w:val="20"/>
                <w:szCs w:val="20"/>
              </w:rPr>
            </w:pPr>
            <w:r w:rsidRPr="002D32A6">
              <w:rPr>
                <w:sz w:val="20"/>
                <w:szCs w:val="20"/>
              </w:rPr>
              <w:t>8 storeys/27.8m</w:t>
            </w:r>
          </w:p>
        </w:tc>
        <w:tc>
          <w:tcPr>
            <w:tcW w:w="1701" w:type="dxa"/>
            <w:shd w:val="clear" w:color="auto" w:fill="auto"/>
            <w:vAlign w:val="center"/>
          </w:tcPr>
          <w:p w:rsidR="007D0EA2" w:rsidRPr="002D32A6" w:rsidRDefault="007D0EA2" w:rsidP="007D0EA2">
            <w:pPr>
              <w:pStyle w:val="PPVTableText"/>
              <w:rPr>
                <w:sz w:val="20"/>
                <w:szCs w:val="20"/>
              </w:rPr>
            </w:pPr>
            <w:r w:rsidRPr="002D32A6">
              <w:rPr>
                <w:sz w:val="20"/>
                <w:szCs w:val="20"/>
              </w:rPr>
              <w:t>6.3:1 (core)</w:t>
            </w:r>
          </w:p>
        </w:tc>
      </w:tr>
    </w:tbl>
    <w:p w:rsidR="007D0EA2" w:rsidRDefault="002A364A" w:rsidP="007D0EA2">
      <w:r>
        <w:t xml:space="preserve">There are currently 20 ‘live’ </w:t>
      </w:r>
      <w:r w:rsidR="000B7EF2">
        <w:t xml:space="preserve">planning </w:t>
      </w:r>
      <w:r>
        <w:t>ermit applications (Table 3).  Of those permit applications, 14 have been ‘called in’ by the Minister.</w:t>
      </w:r>
    </w:p>
    <w:p w:rsidR="007D0EA2" w:rsidRDefault="007D0EA2" w:rsidP="007D0EA2">
      <w:pPr>
        <w:pStyle w:val="Caption"/>
      </w:pPr>
      <w:bookmarkStart w:id="23" w:name="_Toc519841830"/>
      <w:r>
        <w:t xml:space="preserve">Table </w:t>
      </w:r>
      <w:fldSimple w:instr=" SEQ Table \* ARABIC ">
        <w:r w:rsidR="0028199F">
          <w:rPr>
            <w:noProof/>
          </w:rPr>
          <w:t>3</w:t>
        </w:r>
      </w:fldSimple>
      <w:r>
        <w:t>:</w:t>
      </w:r>
      <w:r>
        <w:tab/>
        <w:t>Permit Applications</w:t>
      </w:r>
      <w:bookmarkEnd w:id="23"/>
    </w:p>
    <w:tbl>
      <w:tblPr>
        <w:tblW w:w="9062" w:type="dxa"/>
        <w:tblInd w:w="118" w:type="dxa"/>
        <w:tblBorders>
          <w:bottom w:val="single" w:sz="12" w:space="0" w:color="215868"/>
          <w:insideH w:val="dotted" w:sz="4" w:space="0" w:color="auto"/>
        </w:tblBorders>
        <w:tblLayout w:type="fixed"/>
        <w:tblLook w:val="04A0" w:firstRow="1" w:lastRow="0" w:firstColumn="1" w:lastColumn="0" w:noHBand="0" w:noVBand="1"/>
      </w:tblPr>
      <w:tblGrid>
        <w:gridCol w:w="2615"/>
        <w:gridCol w:w="1344"/>
        <w:gridCol w:w="3402"/>
        <w:gridCol w:w="1701"/>
      </w:tblGrid>
      <w:tr w:rsidR="007D0EA2" w:rsidRPr="00EE5025" w:rsidTr="007D0EA2">
        <w:trPr>
          <w:cantSplit/>
          <w:trHeight w:val="315"/>
          <w:tblHeader/>
        </w:trPr>
        <w:tc>
          <w:tcPr>
            <w:tcW w:w="2615" w:type="dxa"/>
            <w:tcBorders>
              <w:top w:val="nil"/>
              <w:bottom w:val="dotted" w:sz="4" w:space="0" w:color="auto"/>
            </w:tcBorders>
            <w:shd w:val="clear" w:color="auto" w:fill="215868"/>
            <w:vAlign w:val="bottom"/>
            <w:hideMark/>
          </w:tcPr>
          <w:p w:rsidR="007D0EA2" w:rsidRPr="00EE5025" w:rsidRDefault="007D0EA2" w:rsidP="007D0EA2">
            <w:pPr>
              <w:pStyle w:val="PPVTableHeader"/>
            </w:pPr>
            <w:r w:rsidRPr="00EE5025">
              <w:t>Address</w:t>
            </w:r>
          </w:p>
        </w:tc>
        <w:tc>
          <w:tcPr>
            <w:tcW w:w="1344" w:type="dxa"/>
            <w:tcBorders>
              <w:top w:val="nil"/>
              <w:bottom w:val="dotted" w:sz="4" w:space="0" w:color="auto"/>
            </w:tcBorders>
            <w:shd w:val="clear" w:color="auto" w:fill="215868"/>
            <w:vAlign w:val="bottom"/>
            <w:hideMark/>
          </w:tcPr>
          <w:p w:rsidR="007D0EA2" w:rsidRPr="00EE5025" w:rsidRDefault="007D0EA2" w:rsidP="007D0EA2">
            <w:pPr>
              <w:pStyle w:val="PPVTableHeader"/>
            </w:pPr>
            <w:r>
              <w:t>Submitter</w:t>
            </w:r>
          </w:p>
        </w:tc>
        <w:tc>
          <w:tcPr>
            <w:tcW w:w="3402" w:type="dxa"/>
            <w:tcBorders>
              <w:top w:val="nil"/>
              <w:bottom w:val="dotted" w:sz="4" w:space="0" w:color="auto"/>
            </w:tcBorders>
            <w:shd w:val="clear" w:color="auto" w:fill="215868"/>
            <w:vAlign w:val="bottom"/>
            <w:hideMark/>
          </w:tcPr>
          <w:p w:rsidR="007D0EA2" w:rsidRPr="00EE5025" w:rsidRDefault="007D0EA2" w:rsidP="007D0EA2">
            <w:pPr>
              <w:pStyle w:val="PPVTableHeader"/>
            </w:pPr>
            <w:r w:rsidRPr="00EE5025">
              <w:t>Permit application</w:t>
            </w:r>
          </w:p>
        </w:tc>
        <w:tc>
          <w:tcPr>
            <w:tcW w:w="1701" w:type="dxa"/>
            <w:tcBorders>
              <w:top w:val="nil"/>
              <w:bottom w:val="dotted" w:sz="4" w:space="0" w:color="auto"/>
            </w:tcBorders>
            <w:shd w:val="clear" w:color="auto" w:fill="215868"/>
            <w:vAlign w:val="bottom"/>
            <w:hideMark/>
          </w:tcPr>
          <w:p w:rsidR="007D0EA2" w:rsidRPr="00EE5025" w:rsidRDefault="007D0EA2" w:rsidP="007D0EA2">
            <w:pPr>
              <w:pStyle w:val="PPVTableHeader"/>
            </w:pPr>
            <w:r w:rsidRPr="00EE5025">
              <w:t>Proposed FAR</w:t>
            </w:r>
          </w:p>
        </w:tc>
      </w:tr>
      <w:tr w:rsidR="007D0EA2" w:rsidRPr="00EE5025" w:rsidTr="007D0EA2">
        <w:trPr>
          <w:cantSplit/>
          <w:trHeight w:val="85"/>
        </w:trPr>
        <w:tc>
          <w:tcPr>
            <w:tcW w:w="2615" w:type="dxa"/>
            <w:tcBorders>
              <w:top w:val="dotted" w:sz="4" w:space="0" w:color="auto"/>
            </w:tcBorders>
            <w:shd w:val="clear" w:color="auto" w:fill="auto"/>
            <w:vAlign w:val="center"/>
            <w:hideMark/>
          </w:tcPr>
          <w:p w:rsidR="007D0EA2" w:rsidRPr="002D32A6" w:rsidRDefault="007D0EA2" w:rsidP="007D0EA2">
            <w:pPr>
              <w:pStyle w:val="PPVTableText"/>
              <w:rPr>
                <w:sz w:val="20"/>
                <w:szCs w:val="20"/>
              </w:rPr>
            </w:pPr>
            <w:r w:rsidRPr="002D32A6">
              <w:rPr>
                <w:sz w:val="20"/>
                <w:szCs w:val="20"/>
              </w:rPr>
              <w:t>179-185 Normanby Rd</w:t>
            </w:r>
          </w:p>
        </w:tc>
        <w:tc>
          <w:tcPr>
            <w:tcW w:w="1344" w:type="dxa"/>
            <w:tcBorders>
              <w:top w:val="dotted" w:sz="4" w:space="0" w:color="auto"/>
            </w:tcBorders>
            <w:shd w:val="clear" w:color="auto" w:fill="auto"/>
            <w:vAlign w:val="center"/>
            <w:hideMark/>
          </w:tcPr>
          <w:p w:rsidR="007D0EA2" w:rsidRPr="002D32A6" w:rsidRDefault="007D0EA2" w:rsidP="007D0EA2">
            <w:pPr>
              <w:pStyle w:val="PPVTableText"/>
              <w:rPr>
                <w:sz w:val="20"/>
                <w:szCs w:val="20"/>
              </w:rPr>
            </w:pPr>
            <w:r w:rsidRPr="002D32A6">
              <w:rPr>
                <w:sz w:val="20"/>
                <w:szCs w:val="20"/>
              </w:rPr>
              <w:t>200</w:t>
            </w:r>
          </w:p>
        </w:tc>
        <w:tc>
          <w:tcPr>
            <w:tcW w:w="3402" w:type="dxa"/>
            <w:tcBorders>
              <w:top w:val="dotted" w:sz="4" w:space="0" w:color="auto"/>
            </w:tcBorders>
            <w:shd w:val="clear" w:color="auto" w:fill="auto"/>
            <w:vAlign w:val="center"/>
            <w:hideMark/>
          </w:tcPr>
          <w:p w:rsidR="007D0EA2" w:rsidRPr="002D32A6" w:rsidRDefault="004C60E0" w:rsidP="007D0EA2">
            <w:pPr>
              <w:pStyle w:val="PPVTableText"/>
              <w:rPr>
                <w:sz w:val="20"/>
                <w:szCs w:val="20"/>
              </w:rPr>
            </w:pPr>
            <w:r w:rsidRPr="002D32A6">
              <w:rPr>
                <w:sz w:val="20"/>
                <w:szCs w:val="20"/>
              </w:rPr>
              <w:t>25 storeys/</w:t>
            </w:r>
            <w:r w:rsidR="007D0EA2" w:rsidRPr="002D32A6">
              <w:rPr>
                <w:sz w:val="20"/>
                <w:szCs w:val="20"/>
              </w:rPr>
              <w:t>107.8m (called in)</w:t>
            </w:r>
          </w:p>
        </w:tc>
        <w:tc>
          <w:tcPr>
            <w:tcW w:w="1701" w:type="dxa"/>
            <w:tcBorders>
              <w:top w:val="dotted" w:sz="4" w:space="0" w:color="auto"/>
            </w:tcBorders>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187-197 Normanby Rd</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87</w:t>
            </w:r>
          </w:p>
        </w:tc>
        <w:tc>
          <w:tcPr>
            <w:tcW w:w="3402" w:type="dxa"/>
            <w:shd w:val="clear" w:color="auto" w:fill="auto"/>
            <w:vAlign w:val="center"/>
            <w:hideMark/>
          </w:tcPr>
          <w:p w:rsidR="007D0EA2" w:rsidRPr="002D32A6" w:rsidRDefault="004C60E0" w:rsidP="007D0EA2">
            <w:pPr>
              <w:pStyle w:val="PPVTableText"/>
              <w:rPr>
                <w:sz w:val="20"/>
                <w:szCs w:val="20"/>
              </w:rPr>
            </w:pPr>
            <w:r w:rsidRPr="002D32A6">
              <w:rPr>
                <w:sz w:val="20"/>
                <w:szCs w:val="20"/>
              </w:rPr>
              <w:t>40 storeys/</w:t>
            </w:r>
            <w:r w:rsidR="007D0EA2" w:rsidRPr="002D32A6">
              <w:rPr>
                <w:sz w:val="20"/>
                <w:szCs w:val="20"/>
              </w:rPr>
              <w:t>163.7m (called in)</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203-205 Normanby Rd</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95</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 xml:space="preserve">40 storeys/128.9m (called in) </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lastRenderedPageBreak/>
              <w:t>207-217 Normanby Rd</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No sub</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 xml:space="preserve">39 storeys/128.1m (called in) </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235-243 Normanby Rd</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207</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 xml:space="preserve">40 storeys/138.5m (called in) </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240-246 Normanby Rd</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230</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 xml:space="preserve">40 storeys/136.8m (called in) </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248-254 Normanby Rd</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96.1</w:t>
            </w:r>
          </w:p>
        </w:tc>
        <w:tc>
          <w:tcPr>
            <w:tcW w:w="3402" w:type="dxa"/>
            <w:shd w:val="clear" w:color="auto" w:fill="auto"/>
            <w:vAlign w:val="center"/>
            <w:hideMark/>
          </w:tcPr>
          <w:p w:rsidR="007D0EA2" w:rsidRPr="002D32A6" w:rsidRDefault="004C60E0" w:rsidP="007D0EA2">
            <w:pPr>
              <w:pStyle w:val="PPVTableText"/>
              <w:rPr>
                <w:sz w:val="20"/>
                <w:szCs w:val="20"/>
              </w:rPr>
            </w:pPr>
            <w:r w:rsidRPr="002D32A6">
              <w:rPr>
                <w:sz w:val="20"/>
                <w:szCs w:val="20"/>
              </w:rPr>
              <w:t>39 storeys</w:t>
            </w:r>
            <w:r w:rsidR="007D0EA2" w:rsidRPr="002D32A6">
              <w:rPr>
                <w:sz w:val="20"/>
                <w:szCs w:val="20"/>
              </w:rPr>
              <w:t>/129.2m (called in)</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256-262 Normanby Rd</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96.2</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 xml:space="preserve">38 storeys/126.6m (called in) </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143"/>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264-270 Normanby Rd</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96.3</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 xml:space="preserve">40 storeys/135.9m (called in) </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236"/>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272-280 Normanby Rd</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202</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40 storeys/131.8m (called in)</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2-28 Montague St</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90</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37-40 storeys/158m (called in)</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91-95 Montague St</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94</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30 storeys/97.5m (called in)</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123 Montague St</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173</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 xml:space="preserve">Application </w:t>
            </w:r>
            <w:r w:rsidR="004C60E0" w:rsidRPr="002D32A6">
              <w:rPr>
                <w:sz w:val="20"/>
                <w:szCs w:val="20"/>
              </w:rPr>
              <w:t>lapsed on 8 November 2013</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144-148 Ferrars St</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57</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5 storeys/21.2m</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3.6:1 (non-core)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163-169 Ferrars St</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No sub</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 xml:space="preserve">18 storeys/68.5m (called in) </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3.0:1 (non-core)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400-430 City Rd</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143</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39-40 storeys/142.2m (called in)</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31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37-47 Thistlethwaite St</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156</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8 storeys/28.2m</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3.6:1 (non-core)</w:t>
            </w:r>
          </w:p>
        </w:tc>
      </w:tr>
      <w:tr w:rsidR="007D0EA2" w:rsidRPr="00EE5025" w:rsidTr="007D0EA2">
        <w:trPr>
          <w:cantSplit/>
          <w:trHeight w:val="31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156-162 Thistlethwaite St</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115</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4 storeys/13.3m</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3.6:1 (non-core)</w:t>
            </w:r>
          </w:p>
        </w:tc>
      </w:tr>
      <w:tr w:rsidR="007D0EA2" w:rsidRPr="00EE5025" w:rsidTr="007D0EA2">
        <w:trPr>
          <w:cantSplit/>
          <w:trHeight w:val="8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31-41 Buckhurst St</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146</w:t>
            </w:r>
          </w:p>
        </w:tc>
        <w:tc>
          <w:tcPr>
            <w:tcW w:w="3402" w:type="dxa"/>
            <w:shd w:val="clear" w:color="auto" w:fill="auto"/>
            <w:vAlign w:val="center"/>
            <w:hideMark/>
          </w:tcPr>
          <w:p w:rsidR="007D0EA2" w:rsidRPr="002D32A6" w:rsidRDefault="007D0EA2" w:rsidP="007D0EA2">
            <w:pPr>
              <w:pStyle w:val="PPVTableText"/>
              <w:rPr>
                <w:sz w:val="20"/>
                <w:szCs w:val="20"/>
              </w:rPr>
            </w:pPr>
            <w:r w:rsidRPr="002D32A6">
              <w:rPr>
                <w:sz w:val="20"/>
                <w:szCs w:val="20"/>
              </w:rPr>
              <w:t xml:space="preserve">Application </w:t>
            </w:r>
            <w:r w:rsidR="004C60E0" w:rsidRPr="002D32A6">
              <w:rPr>
                <w:sz w:val="20"/>
                <w:szCs w:val="20"/>
              </w:rPr>
              <w:t>refused</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6.3:1 (core)</w:t>
            </w:r>
          </w:p>
        </w:tc>
      </w:tr>
      <w:tr w:rsidR="007D0EA2" w:rsidRPr="00EE5025" w:rsidTr="007D0EA2">
        <w:trPr>
          <w:cantSplit/>
          <w:trHeight w:val="315"/>
        </w:trPr>
        <w:tc>
          <w:tcPr>
            <w:tcW w:w="2615" w:type="dxa"/>
            <w:shd w:val="clear" w:color="auto" w:fill="auto"/>
            <w:vAlign w:val="center"/>
            <w:hideMark/>
          </w:tcPr>
          <w:p w:rsidR="007D0EA2" w:rsidRPr="002D32A6" w:rsidRDefault="007D0EA2" w:rsidP="007D0EA2">
            <w:pPr>
              <w:pStyle w:val="PPVTableText"/>
              <w:rPr>
                <w:sz w:val="20"/>
                <w:szCs w:val="20"/>
              </w:rPr>
            </w:pPr>
            <w:r w:rsidRPr="002D32A6">
              <w:rPr>
                <w:sz w:val="20"/>
                <w:szCs w:val="20"/>
              </w:rPr>
              <w:t>166-168 Buckhurst St</w:t>
            </w:r>
          </w:p>
        </w:tc>
        <w:tc>
          <w:tcPr>
            <w:tcW w:w="1344" w:type="dxa"/>
            <w:shd w:val="clear" w:color="auto" w:fill="auto"/>
            <w:vAlign w:val="center"/>
            <w:hideMark/>
          </w:tcPr>
          <w:p w:rsidR="007D0EA2" w:rsidRPr="002D32A6" w:rsidRDefault="007D0EA2" w:rsidP="007D0EA2">
            <w:pPr>
              <w:pStyle w:val="PPVTableText"/>
              <w:rPr>
                <w:sz w:val="20"/>
                <w:szCs w:val="20"/>
              </w:rPr>
            </w:pPr>
            <w:r w:rsidRPr="002D32A6">
              <w:rPr>
                <w:sz w:val="20"/>
                <w:szCs w:val="20"/>
              </w:rPr>
              <w:t>131.2</w:t>
            </w:r>
          </w:p>
        </w:tc>
        <w:tc>
          <w:tcPr>
            <w:tcW w:w="3402" w:type="dxa"/>
            <w:shd w:val="clear" w:color="auto" w:fill="auto"/>
            <w:vAlign w:val="center"/>
            <w:hideMark/>
          </w:tcPr>
          <w:p w:rsidR="007D0EA2" w:rsidRPr="002D32A6" w:rsidRDefault="004C60E0" w:rsidP="007D0EA2">
            <w:pPr>
              <w:pStyle w:val="PPVTableText"/>
              <w:rPr>
                <w:sz w:val="20"/>
                <w:szCs w:val="20"/>
              </w:rPr>
            </w:pPr>
            <w:r w:rsidRPr="002D32A6">
              <w:rPr>
                <w:sz w:val="20"/>
                <w:szCs w:val="20"/>
              </w:rPr>
              <w:t>20 stor</w:t>
            </w:r>
            <w:r w:rsidR="007D0EA2" w:rsidRPr="002D32A6">
              <w:rPr>
                <w:sz w:val="20"/>
                <w:szCs w:val="20"/>
              </w:rPr>
              <w:t>e</w:t>
            </w:r>
            <w:r w:rsidRPr="002D32A6">
              <w:rPr>
                <w:sz w:val="20"/>
                <w:szCs w:val="20"/>
              </w:rPr>
              <w:t>y</w:t>
            </w:r>
            <w:r w:rsidR="007D0EA2" w:rsidRPr="002D32A6">
              <w:rPr>
                <w:sz w:val="20"/>
                <w:szCs w:val="20"/>
              </w:rPr>
              <w:t>s/60.1m</w:t>
            </w:r>
          </w:p>
        </w:tc>
        <w:tc>
          <w:tcPr>
            <w:tcW w:w="1701" w:type="dxa"/>
            <w:shd w:val="clear" w:color="auto" w:fill="auto"/>
            <w:vAlign w:val="center"/>
            <w:hideMark/>
          </w:tcPr>
          <w:p w:rsidR="007D0EA2" w:rsidRPr="002D32A6" w:rsidRDefault="007D0EA2" w:rsidP="007D0EA2">
            <w:pPr>
              <w:pStyle w:val="PPVTableText"/>
              <w:rPr>
                <w:sz w:val="20"/>
                <w:szCs w:val="20"/>
              </w:rPr>
            </w:pPr>
            <w:r w:rsidRPr="002D32A6">
              <w:rPr>
                <w:sz w:val="20"/>
                <w:szCs w:val="20"/>
              </w:rPr>
              <w:t>3.6:1 (non-core)</w:t>
            </w:r>
          </w:p>
        </w:tc>
      </w:tr>
    </w:tbl>
    <w:p w:rsidR="002A364A" w:rsidRDefault="006B08A6" w:rsidP="000E1A26">
      <w:pPr>
        <w:pStyle w:val="PPVBody"/>
      </w:pPr>
      <w:r>
        <w:t xml:space="preserve">The only residential development of note that has been constructed </w:t>
      </w:r>
      <w:r w:rsidR="002A364A">
        <w:t xml:space="preserve">so far in Montague </w:t>
      </w:r>
      <w:r>
        <w:t>is the 30 storey ‘Gravity’ building on the corner of Montague and Gladstone Streets.</w:t>
      </w:r>
      <w:r w:rsidR="00486E4C">
        <w:t xml:space="preserve">  </w:t>
      </w:r>
      <w:r w:rsidR="00662A71">
        <w:t>The Review Panel does not regard t</w:t>
      </w:r>
      <w:r w:rsidR="002A364A">
        <w:t xml:space="preserve">his building as exemplary built form, nor should it be considered as the model going forward, particularly in relation to the way in which it has </w:t>
      </w:r>
      <w:r w:rsidR="004645E1">
        <w:t>attempted to resolve</w:t>
      </w:r>
      <w:r w:rsidR="002A364A">
        <w:t xml:space="preserve"> the flooding constraints.</w:t>
      </w:r>
    </w:p>
    <w:p w:rsidR="007D0EA2" w:rsidRPr="000E1A26" w:rsidRDefault="00486E4C" w:rsidP="000E1A26">
      <w:pPr>
        <w:pStyle w:val="PPVBody"/>
      </w:pPr>
      <w:r>
        <w:t xml:space="preserve">The Review Panel notes a report in the Herald Sun of 12 July 2018 that an amended permit has been granted </w:t>
      </w:r>
      <w:r w:rsidR="002A364A">
        <w:t xml:space="preserve">by the Minister </w:t>
      </w:r>
      <w:r>
        <w:t xml:space="preserve">for a 40 storey development </w:t>
      </w:r>
      <w:r w:rsidR="001B1B3E">
        <w:t xml:space="preserve">at 199 – 201 </w:t>
      </w:r>
      <w:r w:rsidR="00EA0809">
        <w:t xml:space="preserve">Normanby </w:t>
      </w:r>
      <w:r w:rsidR="00F73890">
        <w:t>Road</w:t>
      </w:r>
      <w:r w:rsidR="00EA0809">
        <w:t>.  This site</w:t>
      </w:r>
      <w:r w:rsidR="001B1B3E">
        <w:t xml:space="preserve"> is located in the core of Montague</w:t>
      </w:r>
      <w:r w:rsidR="00EA0809">
        <w:t xml:space="preserve"> North</w:t>
      </w:r>
      <w:r w:rsidR="001B1B3E">
        <w:t xml:space="preserve"> in an </w:t>
      </w:r>
      <w:r w:rsidR="001B1B3E" w:rsidRPr="00EA0809">
        <w:t xml:space="preserve">area </w:t>
      </w:r>
      <w:r w:rsidR="00EA0809">
        <w:t xml:space="preserve">now subject to a </w:t>
      </w:r>
      <w:r w:rsidR="001B1B3E" w:rsidRPr="00EA0809">
        <w:t>2</w:t>
      </w:r>
      <w:r w:rsidR="00D01D43">
        <w:t>0</w:t>
      </w:r>
      <w:r w:rsidR="001B1B3E" w:rsidRPr="00EA0809">
        <w:t xml:space="preserve"> storey discretionary</w:t>
      </w:r>
      <w:r w:rsidR="001B1B3E">
        <w:t xml:space="preserve"> height limit</w:t>
      </w:r>
      <w:r w:rsidR="00EA0809">
        <w:t xml:space="preserve"> under the proposed planning controls</w:t>
      </w:r>
      <w:r w:rsidR="001B1B3E">
        <w:t>.</w:t>
      </w:r>
    </w:p>
    <w:p w:rsidR="00907282" w:rsidRPr="00907282" w:rsidRDefault="00E508F1" w:rsidP="00522C9C">
      <w:pPr>
        <w:pStyle w:val="Heading2"/>
        <w:tabs>
          <w:tab w:val="clear" w:pos="1440"/>
          <w:tab w:val="left" w:pos="851"/>
        </w:tabs>
      </w:pPr>
      <w:bookmarkStart w:id="24" w:name="_Toc519849248"/>
      <w:r>
        <w:t>Hearing</w:t>
      </w:r>
      <w:r w:rsidR="00907282">
        <w:t xml:space="preserve"> process</w:t>
      </w:r>
      <w:bookmarkEnd w:id="24"/>
    </w:p>
    <w:p w:rsidR="00607994" w:rsidRDefault="00BC30AF" w:rsidP="0042708B">
      <w:pPr>
        <w:pStyle w:val="PPVBody"/>
      </w:pPr>
      <w:bookmarkStart w:id="25" w:name="_Toc29443922"/>
      <w:bookmarkStart w:id="26" w:name="_Toc29444352"/>
      <w:bookmarkStart w:id="27" w:name="_Toc105479963"/>
      <w:r>
        <w:t xml:space="preserve">The Montague Hearing was held </w:t>
      </w:r>
      <w:r w:rsidR="0065432F">
        <w:t xml:space="preserve">over </w:t>
      </w:r>
      <w:r w:rsidR="00C9586A">
        <w:t>13</w:t>
      </w:r>
      <w:r w:rsidR="0065432F">
        <w:t xml:space="preserve"> days</w:t>
      </w:r>
      <w:r w:rsidR="00AE4761">
        <w:t>, generally</w:t>
      </w:r>
      <w:r w:rsidR="0065432F">
        <w:t xml:space="preserve"> between 18 April and 8 May 2018.</w:t>
      </w:r>
    </w:p>
    <w:p w:rsidR="00C9586A" w:rsidRDefault="00C9586A" w:rsidP="0042708B">
      <w:pPr>
        <w:pStyle w:val="PPVBody"/>
      </w:pPr>
      <w:r>
        <w:t xml:space="preserve">There were in the order of </w:t>
      </w:r>
      <w:r w:rsidR="00D21AEB">
        <w:t>38</w:t>
      </w:r>
      <w:r>
        <w:t xml:space="preserve"> written submissions in relation to Montague, of which approximately 26 submitters spoke to and/or called evidence in support of th</w:t>
      </w:r>
      <w:r w:rsidR="00F45F1E">
        <w:t>eir submission at the Hearing.</w:t>
      </w:r>
    </w:p>
    <w:p w:rsidR="002A364A" w:rsidRDefault="002A364A" w:rsidP="0042708B">
      <w:pPr>
        <w:pStyle w:val="PPVBody"/>
      </w:pPr>
      <w:r>
        <w:t xml:space="preserve">Ms Collingwood, Mr Canavan and Mr Tweedie, and Mr Wren </w:t>
      </w:r>
      <w:r w:rsidR="00F73890">
        <w:t xml:space="preserve">each </w:t>
      </w:r>
      <w:r>
        <w:t>represented multiple submitters at the Montague hearings.</w:t>
      </w:r>
    </w:p>
    <w:p w:rsidR="00AE364D" w:rsidRDefault="00AE364D" w:rsidP="0042708B">
      <w:pPr>
        <w:pStyle w:val="PPVBody"/>
      </w:pPr>
      <w:r>
        <w:t>The findings and recommendations of the Review Panel for Montague are based on the Minister’s Part C planning controls as tabled on 14 May 2018.</w:t>
      </w:r>
    </w:p>
    <w:p w:rsidR="00AE364D" w:rsidRDefault="00AE364D" w:rsidP="0042708B">
      <w:pPr>
        <w:pStyle w:val="PPVBody"/>
      </w:pPr>
      <w:r>
        <w:lastRenderedPageBreak/>
        <w:t>The Review Panel has not analysed and responded to every issue raised in every submission in detail, rather it has focussed on the higher order issues that impact on the planning controls proposed by the Minister and as amended by the Review Panel through Report</w:t>
      </w:r>
      <w:r w:rsidR="000B7EF2">
        <w:t xml:space="preserve"> No.1</w:t>
      </w:r>
      <w:r>
        <w:t>, Volumes 1 and 2.</w:t>
      </w:r>
    </w:p>
    <w:p w:rsidR="002A364A" w:rsidRDefault="001A569B" w:rsidP="0042708B">
      <w:pPr>
        <w:pStyle w:val="PPVBody"/>
      </w:pPr>
      <w:r>
        <w:t>Many</w:t>
      </w:r>
      <w:r w:rsidR="002A364A">
        <w:t xml:space="preserve"> of the </w:t>
      </w:r>
      <w:r>
        <w:t xml:space="preserve">issues raised in submissions and evidence in relation to Montague have been discussed in </w:t>
      </w:r>
      <w:r w:rsidR="00662A71">
        <w:t xml:space="preserve">the </w:t>
      </w:r>
      <w:r>
        <w:t>Overview</w:t>
      </w:r>
      <w:r w:rsidR="00662A71">
        <w:t xml:space="preserve"> Report</w:t>
      </w:r>
      <w:r>
        <w:t xml:space="preserve">.  The findings and recommendations of </w:t>
      </w:r>
      <w:r w:rsidR="00662A71">
        <w:t xml:space="preserve">the Overview </w:t>
      </w:r>
      <w:r w:rsidR="000B7EF2">
        <w:t>and Amended planning controls r</w:t>
      </w:r>
      <w:r w:rsidR="004645E1">
        <w:t>eport</w:t>
      </w:r>
      <w:r w:rsidR="000B7EF2">
        <w:t>s</w:t>
      </w:r>
      <w:r w:rsidR="004645E1">
        <w:t xml:space="preserve"> </w:t>
      </w:r>
      <w:r>
        <w:t>are relevant to Montague</w:t>
      </w:r>
      <w:r w:rsidR="000B7EF2">
        <w:t>.</w:t>
      </w:r>
    </w:p>
    <w:p w:rsidR="008E1C42" w:rsidRDefault="00A1146E" w:rsidP="00445060">
      <w:pPr>
        <w:pStyle w:val="Heading1"/>
      </w:pPr>
      <w:bookmarkStart w:id="28" w:name="_Toc519849249"/>
      <w:bookmarkStart w:id="29" w:name="_Toc326586197"/>
      <w:bookmarkEnd w:id="25"/>
      <w:bookmarkEnd w:id="26"/>
      <w:bookmarkEnd w:id="27"/>
      <w:r>
        <w:lastRenderedPageBreak/>
        <w:t>Vision and Framework</w:t>
      </w:r>
      <w:bookmarkEnd w:id="28"/>
    </w:p>
    <w:p w:rsidR="00BC30AF" w:rsidRDefault="00A1146E" w:rsidP="008E1C42">
      <w:pPr>
        <w:pStyle w:val="Heading2"/>
      </w:pPr>
      <w:bookmarkStart w:id="30" w:name="_Toc519849250"/>
      <w:r>
        <w:t xml:space="preserve">Montague </w:t>
      </w:r>
      <w:r w:rsidR="00BC30AF">
        <w:t>Vision</w:t>
      </w:r>
      <w:bookmarkEnd w:id="30"/>
    </w:p>
    <w:p w:rsidR="000548BE" w:rsidRDefault="0065432F" w:rsidP="00152469">
      <w:pPr>
        <w:pStyle w:val="PPVBody"/>
      </w:pPr>
      <w:r>
        <w:t xml:space="preserve">The Vision </w:t>
      </w:r>
      <w:r w:rsidR="00AE4761">
        <w:t xml:space="preserve">for Montague </w:t>
      </w:r>
      <w:r w:rsidR="00152469">
        <w:t xml:space="preserve">in summary, is </w:t>
      </w:r>
      <w:r w:rsidR="001A569B">
        <w:t xml:space="preserve">for </w:t>
      </w:r>
      <w:r>
        <w:t>a diverse and well-connected mixed-u</w:t>
      </w:r>
      <w:r w:rsidR="001A569B">
        <w:t xml:space="preserve">se </w:t>
      </w:r>
      <w:r w:rsidR="000B7EF2">
        <w:t>P</w:t>
      </w:r>
      <w:r>
        <w:t>recinct celebrating its significant cultural and built heritage and network</w:t>
      </w:r>
      <w:r w:rsidR="00A462FE">
        <w:t xml:space="preserve"> of gritty streets and laneways</w:t>
      </w:r>
      <w:r w:rsidR="000548BE">
        <w:t>.</w:t>
      </w:r>
      <w:r w:rsidR="00A5487E">
        <w:t xml:space="preserve"> </w:t>
      </w:r>
      <w:r w:rsidR="001A569B">
        <w:t xml:space="preserve"> The P</w:t>
      </w:r>
      <w:r w:rsidR="000548BE">
        <w:t xml:space="preserve">recinct </w:t>
      </w:r>
      <w:r w:rsidR="000B7EF2">
        <w:t>will</w:t>
      </w:r>
      <w:r w:rsidR="000548BE">
        <w:t xml:space="preserve"> </w:t>
      </w:r>
      <w:r w:rsidR="000B7EF2">
        <w:t xml:space="preserve">comprise two neighbourhoods, each with </w:t>
      </w:r>
      <w:r w:rsidR="000548BE">
        <w:t>thei</w:t>
      </w:r>
      <w:r w:rsidR="00F45F1E">
        <w:t>r own distinct characteristics.</w:t>
      </w:r>
    </w:p>
    <w:p w:rsidR="00A1146E" w:rsidRDefault="000548BE" w:rsidP="00152469">
      <w:pPr>
        <w:pStyle w:val="PPVBody"/>
      </w:pPr>
      <w:r>
        <w:t xml:space="preserve">The northern neighbourhood </w:t>
      </w:r>
      <w:r w:rsidR="000B7EF2">
        <w:t xml:space="preserve">will be </w:t>
      </w:r>
      <w:r>
        <w:t xml:space="preserve">strongly focused on mix-use and </w:t>
      </w:r>
      <w:r w:rsidR="000B7EF2">
        <w:t>will include</w:t>
      </w:r>
      <w:r>
        <w:t xml:space="preserve"> a vibrant boulevard along Normanby Road and cycling </w:t>
      </w:r>
      <w:r w:rsidR="00662A71">
        <w:t xml:space="preserve">connections </w:t>
      </w:r>
      <w:r>
        <w:t>which link</w:t>
      </w:r>
      <w:r w:rsidR="001A569B">
        <w:t xml:space="preserve"> the P</w:t>
      </w:r>
      <w:r w:rsidR="001A4F4E">
        <w:t>recinct</w:t>
      </w:r>
      <w:r>
        <w:t xml:space="preserve"> to the CBD.</w:t>
      </w:r>
      <w:r w:rsidR="001A569B">
        <w:t xml:space="preserve">  It is this part of the Precinct that will </w:t>
      </w:r>
      <w:r w:rsidR="00662A71">
        <w:t xml:space="preserve">accommodate </w:t>
      </w:r>
      <w:r w:rsidR="00F45F1E">
        <w:t>the highest built form.</w:t>
      </w:r>
    </w:p>
    <w:p w:rsidR="000548BE" w:rsidRDefault="000548BE" w:rsidP="00152469">
      <w:pPr>
        <w:pStyle w:val="PPVBody"/>
      </w:pPr>
      <w:r>
        <w:t xml:space="preserve">The southern neighbourhood </w:t>
      </w:r>
      <w:r w:rsidR="000B7EF2">
        <w:t xml:space="preserve">will comprise </w:t>
      </w:r>
      <w:r>
        <w:t xml:space="preserve">a network of </w:t>
      </w:r>
      <w:r w:rsidRPr="000B7EF2">
        <w:t>gritty</w:t>
      </w:r>
      <w:r>
        <w:t xml:space="preserve"> streets and laneways </w:t>
      </w:r>
      <w:r w:rsidR="000B7EF2">
        <w:t xml:space="preserve">that will </w:t>
      </w:r>
      <w:r>
        <w:t xml:space="preserve">support an array of local businesses such as cafes, shops and creative industries. </w:t>
      </w:r>
      <w:r w:rsidR="00A5487E">
        <w:t xml:space="preserve"> </w:t>
      </w:r>
      <w:r>
        <w:t xml:space="preserve">The area is </w:t>
      </w:r>
      <w:r w:rsidR="000B7EF2">
        <w:t xml:space="preserve">proposed to be </w:t>
      </w:r>
      <w:r w:rsidR="001A569B">
        <w:t xml:space="preserve">diverse </w:t>
      </w:r>
      <w:r>
        <w:t>and lively which</w:t>
      </w:r>
      <w:r w:rsidR="000B7EF2">
        <w:t xml:space="preserve"> will contribute</w:t>
      </w:r>
      <w:r>
        <w:t xml:space="preserve"> to its eclectic and vibrant character.</w:t>
      </w:r>
    </w:p>
    <w:p w:rsidR="001A4F4E" w:rsidRDefault="001A4F4E" w:rsidP="00152469">
      <w:pPr>
        <w:pStyle w:val="PPVBody"/>
      </w:pPr>
      <w:r>
        <w:t xml:space="preserve">Montague </w:t>
      </w:r>
      <w:r w:rsidR="000B7EF2">
        <w:t>will be</w:t>
      </w:r>
      <w:r>
        <w:t xml:space="preserve"> well linked to th</w:t>
      </w:r>
      <w:r w:rsidR="00E26ED7">
        <w:t>e surrounding precincts and</w:t>
      </w:r>
      <w:r w:rsidR="00662A71">
        <w:t xml:space="preserve"> the</w:t>
      </w:r>
      <w:r w:rsidR="00E26ED7">
        <w:t xml:space="preserve"> CBD. </w:t>
      </w:r>
      <w:r w:rsidR="00A5487E">
        <w:t xml:space="preserve"> </w:t>
      </w:r>
      <w:r w:rsidR="00E26ED7">
        <w:t xml:space="preserve">It </w:t>
      </w:r>
      <w:r w:rsidR="000B7EF2">
        <w:t>will feature</w:t>
      </w:r>
      <w:r w:rsidR="001A569B">
        <w:t xml:space="preserve"> several</w:t>
      </w:r>
      <w:r>
        <w:t xml:space="preserve"> walking and cycling connections as well as </w:t>
      </w:r>
      <w:r w:rsidR="004645E1">
        <w:t xml:space="preserve">a high frequency </w:t>
      </w:r>
      <w:r>
        <w:t xml:space="preserve">light rail and buses to connect with </w:t>
      </w:r>
      <w:r w:rsidR="001A569B">
        <w:t>business</w:t>
      </w:r>
      <w:r w:rsidR="00A24462">
        <w:t>, retail and</w:t>
      </w:r>
      <w:r>
        <w:t xml:space="preserve"> employment destinations.</w:t>
      </w:r>
      <w:r w:rsidR="00951F05">
        <w:t xml:space="preserve"> </w:t>
      </w:r>
      <w:r w:rsidR="00A5487E">
        <w:t xml:space="preserve"> </w:t>
      </w:r>
      <w:r w:rsidR="00253AD7">
        <w:t xml:space="preserve">The proposed Arts and Cultural, and Education and community </w:t>
      </w:r>
      <w:r w:rsidR="00951F05">
        <w:t xml:space="preserve">hubs on Ferrars Street </w:t>
      </w:r>
      <w:r w:rsidR="00A24462">
        <w:t xml:space="preserve">will </w:t>
      </w:r>
      <w:r w:rsidR="00951F05">
        <w:t xml:space="preserve">provide focal points for the local community. </w:t>
      </w:r>
      <w:r w:rsidR="00A5487E">
        <w:t xml:space="preserve"> </w:t>
      </w:r>
      <w:r w:rsidR="00951F05">
        <w:t xml:space="preserve">They </w:t>
      </w:r>
      <w:r w:rsidR="00A24462">
        <w:t xml:space="preserve">will be </w:t>
      </w:r>
      <w:r w:rsidR="00951F05">
        <w:t xml:space="preserve">connected by the </w:t>
      </w:r>
      <w:r w:rsidR="00951F05" w:rsidRPr="00253AD7">
        <w:t>Buckhurst</w:t>
      </w:r>
      <w:r w:rsidR="00662A71" w:rsidRPr="00253AD7">
        <w:t xml:space="preserve"> </w:t>
      </w:r>
      <w:r w:rsidR="00253AD7" w:rsidRPr="00253AD7">
        <w:t>Street</w:t>
      </w:r>
      <w:r w:rsidR="00951F05" w:rsidRPr="00253AD7">
        <w:t xml:space="preserve"> green</w:t>
      </w:r>
      <w:r w:rsidR="00951F05">
        <w:t xml:space="preserve"> spine, which </w:t>
      </w:r>
      <w:r w:rsidR="00A24462">
        <w:t>will be at the heart of the P</w:t>
      </w:r>
      <w:r w:rsidR="00951F05">
        <w:t xml:space="preserve">recinct and </w:t>
      </w:r>
      <w:r w:rsidR="00A24462">
        <w:t>which will provide</w:t>
      </w:r>
      <w:r w:rsidR="00951F05">
        <w:t xml:space="preserve"> a </w:t>
      </w:r>
      <w:r w:rsidR="00A24462">
        <w:t>“</w:t>
      </w:r>
      <w:r w:rsidR="00951F05" w:rsidRPr="00A24462">
        <w:rPr>
          <w:i/>
        </w:rPr>
        <w:t>cosmopolitan destination for retail and dining while fostering community interaction</w:t>
      </w:r>
      <w:r w:rsidR="00A24462">
        <w:t>”</w:t>
      </w:r>
      <w:r w:rsidR="00951F05">
        <w:t>.</w:t>
      </w:r>
      <w:r w:rsidR="00CC5922" w:rsidRPr="00CC5922">
        <w:rPr>
          <w:rStyle w:val="FootnoteReference"/>
        </w:rPr>
        <w:t xml:space="preserve"> </w:t>
      </w:r>
      <w:r w:rsidR="00CC5922">
        <w:rPr>
          <w:rStyle w:val="FootnoteReference"/>
        </w:rPr>
        <w:footnoteReference w:id="2"/>
      </w:r>
    </w:p>
    <w:p w:rsidR="00854CF9" w:rsidRDefault="00A1146E" w:rsidP="00443BFD">
      <w:pPr>
        <w:pStyle w:val="PPVBody"/>
      </w:pPr>
      <w:r>
        <w:t xml:space="preserve">The </w:t>
      </w:r>
      <w:r w:rsidR="00C9586A">
        <w:t>Precinct</w:t>
      </w:r>
      <w:r>
        <w:t xml:space="preserve"> </w:t>
      </w:r>
      <w:r w:rsidR="00C9586A">
        <w:t>Directions</w:t>
      </w:r>
      <w:r>
        <w:t xml:space="preserve"> </w:t>
      </w:r>
      <w:r w:rsidR="00A24462">
        <w:t xml:space="preserve">from the Vision </w:t>
      </w:r>
      <w:r>
        <w:t>are</w:t>
      </w:r>
      <w:r w:rsidR="00662A71" w:rsidRPr="003D0613">
        <w:rPr>
          <w:rStyle w:val="FootnoteReference"/>
        </w:rPr>
        <w:footnoteReference w:id="3"/>
      </w:r>
      <w:r>
        <w:t>:</w:t>
      </w:r>
    </w:p>
    <w:p w:rsidR="00A1146E" w:rsidRDefault="003223A2" w:rsidP="00A1146E">
      <w:pPr>
        <w:pStyle w:val="PPVQuoteBullet1"/>
      </w:pPr>
      <w:r>
        <w:t>c</w:t>
      </w:r>
      <w:r w:rsidR="00A1146E">
        <w:t>elebrate heritage buildings and urban form, including fine-grain built form and laneways</w:t>
      </w:r>
    </w:p>
    <w:p w:rsidR="00A1146E" w:rsidRDefault="003223A2" w:rsidP="00A1146E">
      <w:pPr>
        <w:pStyle w:val="PPVQuoteBullet1"/>
      </w:pPr>
      <w:r>
        <w:t>s</w:t>
      </w:r>
      <w:r w:rsidR="00701993">
        <w:t>trengthen links to surrounding places, including South Melbourne, Albert Park, Bay Street, South Wharf and Docklands</w:t>
      </w:r>
    </w:p>
    <w:p w:rsidR="00701993" w:rsidRDefault="003223A2" w:rsidP="00A1146E">
      <w:pPr>
        <w:pStyle w:val="PPVQuoteBullet1"/>
      </w:pPr>
      <w:r>
        <w:t>s</w:t>
      </w:r>
      <w:r w:rsidR="00701993">
        <w:t>upport a vibrant Buckhurst Street anchored by community hubs through mixed-use developments, active street edges and high quality public realm</w:t>
      </w:r>
    </w:p>
    <w:p w:rsidR="00701993" w:rsidRDefault="003223A2" w:rsidP="00A1146E">
      <w:pPr>
        <w:pStyle w:val="PPVQuoteBullet1"/>
      </w:pPr>
      <w:r>
        <w:t>e</w:t>
      </w:r>
      <w:r w:rsidR="00701993">
        <w:t>stablish a green spine through the precinct along Buckhurst Street</w:t>
      </w:r>
    </w:p>
    <w:p w:rsidR="00701993" w:rsidRDefault="003223A2" w:rsidP="00A1146E">
      <w:pPr>
        <w:pStyle w:val="PPVQuoteBullet1"/>
      </w:pPr>
      <w:r>
        <w:t>s</w:t>
      </w:r>
      <w:r w:rsidR="00701993">
        <w:t>upport two distinctive neighbourhoods to the north and south of the 109 tram line.</w:t>
      </w:r>
    </w:p>
    <w:p w:rsidR="00443BFD" w:rsidRDefault="00A1146E" w:rsidP="00443BFD">
      <w:pPr>
        <w:pStyle w:val="PPVBody"/>
      </w:pPr>
      <w:r>
        <w:t xml:space="preserve">The target population is for </w:t>
      </w:r>
      <w:r w:rsidR="00443BFD" w:rsidRPr="003D0613">
        <w:t>2</w:t>
      </w:r>
      <w:r w:rsidR="003D0613" w:rsidRPr="003D0613">
        <w:t>0</w:t>
      </w:r>
      <w:r w:rsidR="00443BFD" w:rsidRPr="003D0613">
        <w:t>,</w:t>
      </w:r>
      <w:r w:rsidR="003D0613" w:rsidRPr="003D0613">
        <w:t>800 resident</w:t>
      </w:r>
      <w:r>
        <w:t xml:space="preserve">s in 9,244 households, </w:t>
      </w:r>
      <w:r w:rsidR="004645E1">
        <w:t>and</w:t>
      </w:r>
      <w:r>
        <w:t xml:space="preserve"> a workforce of</w:t>
      </w:r>
      <w:r w:rsidR="003D0613" w:rsidRPr="003D0613">
        <w:t xml:space="preserve"> 4</w:t>
      </w:r>
      <w:r w:rsidR="00443BFD" w:rsidRPr="003D0613">
        <w:t xml:space="preserve">,000 </w:t>
      </w:r>
      <w:r>
        <w:t>jobs by</w:t>
      </w:r>
      <w:r w:rsidR="00443BFD" w:rsidRPr="003D0613">
        <w:t xml:space="preserve"> 2050</w:t>
      </w:r>
      <w:r w:rsidR="003D0613" w:rsidRPr="003D0613">
        <w:rPr>
          <w:rStyle w:val="FootnoteReference"/>
        </w:rPr>
        <w:footnoteReference w:id="4"/>
      </w:r>
      <w:r w:rsidR="00443BFD" w:rsidRPr="003D0613">
        <w:t>.</w:t>
      </w:r>
    </w:p>
    <w:p w:rsidR="008E1C42" w:rsidRDefault="00E508F1" w:rsidP="008E1C42">
      <w:pPr>
        <w:pStyle w:val="Heading2"/>
      </w:pPr>
      <w:bookmarkStart w:id="31" w:name="_Toc519849251"/>
      <w:r>
        <w:t xml:space="preserve">Proposed </w:t>
      </w:r>
      <w:r w:rsidR="008E1C42">
        <w:t>Urban Structure</w:t>
      </w:r>
      <w:bookmarkEnd w:id="31"/>
    </w:p>
    <w:p w:rsidR="008E1C42" w:rsidRDefault="0065432F" w:rsidP="008E1C42">
      <w:pPr>
        <w:pStyle w:val="PPVBody"/>
      </w:pPr>
      <w:r>
        <w:t xml:space="preserve">The proposed urban structure </w:t>
      </w:r>
      <w:r w:rsidR="008E1C42">
        <w:t xml:space="preserve">for the </w:t>
      </w:r>
      <w:r w:rsidR="00F948F4">
        <w:t>Montague</w:t>
      </w:r>
      <w:r w:rsidR="008E1C42">
        <w:t xml:space="preserve"> Precinct</w:t>
      </w:r>
      <w:r w:rsidR="00152469">
        <w:t xml:space="preserve"> is shown in Figure 3.</w:t>
      </w:r>
    </w:p>
    <w:p w:rsidR="00152469" w:rsidRDefault="00152469" w:rsidP="00152469">
      <w:pPr>
        <w:pStyle w:val="Caption"/>
      </w:pPr>
      <w:r>
        <w:lastRenderedPageBreak/>
        <w:t xml:space="preserve">Figure 3: </w:t>
      </w:r>
      <w:r w:rsidR="003223A2">
        <w:tab/>
      </w:r>
      <w:r>
        <w:t>Urban structure Montague</w:t>
      </w:r>
    </w:p>
    <w:p w:rsidR="00152469" w:rsidRDefault="008E16AC" w:rsidP="00152469">
      <w:pPr>
        <w:pStyle w:val="PPVBody"/>
      </w:pPr>
      <w:r>
        <w:rPr>
          <w:noProof/>
        </w:rPr>
        <w:drawing>
          <wp:inline distT="0" distB="0" distL="0" distR="0" wp14:anchorId="7D8D9842" wp14:editId="2993AA3C">
            <wp:extent cx="5759450" cy="42221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4222115"/>
                    </a:xfrm>
                    <a:prstGeom prst="rect">
                      <a:avLst/>
                    </a:prstGeom>
                  </pic:spPr>
                </pic:pic>
              </a:graphicData>
            </a:graphic>
          </wp:inline>
        </w:drawing>
      </w:r>
    </w:p>
    <w:p w:rsidR="008E16AC" w:rsidRPr="0084596C" w:rsidRDefault="008E16AC" w:rsidP="00152469">
      <w:pPr>
        <w:pStyle w:val="PPVBody"/>
        <w:rPr>
          <w:sz w:val="20"/>
          <w:szCs w:val="20"/>
        </w:rPr>
      </w:pPr>
      <w:r w:rsidRPr="0084596C">
        <w:rPr>
          <w:sz w:val="20"/>
          <w:szCs w:val="20"/>
        </w:rPr>
        <w:t>Source: Minister Part C, Map 1a (D317)</w:t>
      </w:r>
    </w:p>
    <w:p w:rsidR="00E8463C" w:rsidRPr="00E8463C" w:rsidRDefault="00E8463C" w:rsidP="00E8463C">
      <w:pPr>
        <w:pStyle w:val="PPVBody"/>
      </w:pPr>
      <w:r w:rsidRPr="00E8463C">
        <w:rPr>
          <w:rStyle w:val="A12"/>
          <w:rFonts w:cs="Calibri"/>
          <w:color w:val="auto"/>
          <w:sz w:val="24"/>
          <w:szCs w:val="24"/>
        </w:rPr>
        <w:t xml:space="preserve">Normanby Road and Buckhurst Street </w:t>
      </w:r>
      <w:r w:rsidR="00C9586A">
        <w:rPr>
          <w:rStyle w:val="A12"/>
          <w:rFonts w:cs="Calibri"/>
          <w:color w:val="auto"/>
          <w:sz w:val="24"/>
          <w:szCs w:val="24"/>
        </w:rPr>
        <w:t>are</w:t>
      </w:r>
      <w:r>
        <w:rPr>
          <w:rStyle w:val="A12"/>
          <w:rFonts w:cs="Calibri"/>
          <w:color w:val="auto"/>
          <w:sz w:val="24"/>
          <w:szCs w:val="24"/>
        </w:rPr>
        <w:t xml:space="preserve"> nominated as key ac</w:t>
      </w:r>
      <w:r w:rsidR="00C9586A">
        <w:rPr>
          <w:rStyle w:val="A12"/>
          <w:rFonts w:cs="Calibri"/>
          <w:color w:val="auto"/>
          <w:sz w:val="24"/>
          <w:szCs w:val="24"/>
        </w:rPr>
        <w:t>tive civic s</w:t>
      </w:r>
      <w:r w:rsidR="006B08A6">
        <w:rPr>
          <w:rStyle w:val="A12"/>
          <w:rFonts w:cs="Calibri"/>
          <w:color w:val="auto"/>
          <w:sz w:val="24"/>
          <w:szCs w:val="24"/>
        </w:rPr>
        <w:t>pines</w:t>
      </w:r>
      <w:r w:rsidR="00C9586A">
        <w:rPr>
          <w:rStyle w:val="A12"/>
          <w:rFonts w:cs="Calibri"/>
          <w:color w:val="auto"/>
          <w:sz w:val="24"/>
          <w:szCs w:val="24"/>
        </w:rPr>
        <w:t xml:space="preserve"> where a high </w:t>
      </w:r>
      <w:r>
        <w:rPr>
          <w:rStyle w:val="A12"/>
          <w:rFonts w:cs="Calibri"/>
          <w:color w:val="auto"/>
          <w:sz w:val="24"/>
          <w:szCs w:val="24"/>
        </w:rPr>
        <w:t>quality pedestrian environment is sought.</w:t>
      </w:r>
      <w:r w:rsidR="009F4DD1">
        <w:rPr>
          <w:rStyle w:val="A12"/>
          <w:rFonts w:cs="Calibri"/>
          <w:color w:val="auto"/>
          <w:sz w:val="24"/>
          <w:szCs w:val="24"/>
        </w:rPr>
        <w:t xml:space="preserve">  The core retail area is proposed along Buckhurst Street which will be complemented by the street’s </w:t>
      </w:r>
      <w:r w:rsidR="00662A71">
        <w:rPr>
          <w:rStyle w:val="A12"/>
          <w:rFonts w:cs="Calibri"/>
          <w:color w:val="auto"/>
          <w:sz w:val="24"/>
          <w:szCs w:val="24"/>
        </w:rPr>
        <w:t>g</w:t>
      </w:r>
      <w:r w:rsidR="009F4DD1">
        <w:rPr>
          <w:rStyle w:val="A12"/>
          <w:rFonts w:cs="Calibri"/>
          <w:color w:val="auto"/>
          <w:sz w:val="24"/>
          <w:szCs w:val="24"/>
        </w:rPr>
        <w:t xml:space="preserve">reen </w:t>
      </w:r>
      <w:r w:rsidR="00662A71">
        <w:rPr>
          <w:rStyle w:val="A12"/>
          <w:rFonts w:cs="Calibri"/>
          <w:color w:val="auto"/>
          <w:sz w:val="24"/>
          <w:szCs w:val="24"/>
        </w:rPr>
        <w:t>s</w:t>
      </w:r>
      <w:r w:rsidR="009F4DD1">
        <w:rPr>
          <w:rStyle w:val="A12"/>
          <w:rFonts w:cs="Calibri"/>
          <w:color w:val="auto"/>
          <w:sz w:val="24"/>
          <w:szCs w:val="24"/>
        </w:rPr>
        <w:t>pine.</w:t>
      </w:r>
    </w:p>
    <w:p w:rsidR="00E8463C" w:rsidRDefault="00E8463C" w:rsidP="008E1C42">
      <w:pPr>
        <w:pStyle w:val="PPVBody"/>
      </w:pPr>
      <w:r>
        <w:t xml:space="preserve">Heavy rail </w:t>
      </w:r>
      <w:r w:rsidR="00C9586A">
        <w:t xml:space="preserve">is </w:t>
      </w:r>
      <w:r>
        <w:t>no longer anticipated in the Montague Precinct</w:t>
      </w:r>
      <w:r w:rsidR="00662A71">
        <w:t>.  I</w:t>
      </w:r>
      <w:r>
        <w:t>nstead</w:t>
      </w:r>
      <w:r w:rsidR="00C9586A">
        <w:t>, the Precinct is</w:t>
      </w:r>
      <w:r>
        <w:t xml:space="preserve"> intended to be serviced by light rail.</w:t>
      </w:r>
    </w:p>
    <w:p w:rsidR="00E8463C" w:rsidRDefault="00662A71" w:rsidP="00E8463C">
      <w:pPr>
        <w:pStyle w:val="PPVBody"/>
      </w:pPr>
      <w:r>
        <w:t>E</w:t>
      </w:r>
      <w:r w:rsidR="00E8463C" w:rsidRPr="00AE4761">
        <w:t xml:space="preserve">xisting laneways </w:t>
      </w:r>
      <w:r>
        <w:t xml:space="preserve">are proposed to be connected and completed </w:t>
      </w:r>
      <w:r w:rsidR="00E8463C" w:rsidRPr="00AE4761">
        <w:t>as through-block links (Montague South)</w:t>
      </w:r>
      <w:r>
        <w:t>,</w:t>
      </w:r>
      <w:r w:rsidR="00E8463C" w:rsidRPr="00AE4761">
        <w:t xml:space="preserve"> and creation of new north-south links (Montague North) </w:t>
      </w:r>
      <w:r w:rsidR="00B07049">
        <w:t xml:space="preserve">are proposed </w:t>
      </w:r>
      <w:r w:rsidR="00E8463C" w:rsidRPr="00AE4761">
        <w:t xml:space="preserve">to improve connectivity to </w:t>
      </w:r>
      <w:r w:rsidR="00B07049">
        <w:t xml:space="preserve">the </w:t>
      </w:r>
      <w:r w:rsidR="00E8463C" w:rsidRPr="00AE4761">
        <w:t>Normanby Road boulevard</w:t>
      </w:r>
      <w:r w:rsidR="00B07049">
        <w:t>.</w:t>
      </w:r>
    </w:p>
    <w:p w:rsidR="00D84CF1" w:rsidRDefault="00A5487E" w:rsidP="00E8463C">
      <w:pPr>
        <w:pStyle w:val="PPVBody"/>
      </w:pPr>
      <w:r>
        <w:t xml:space="preserve">Port Phillip helpfully prepared and provided an Urban </w:t>
      </w:r>
      <w:r w:rsidR="00253AD7">
        <w:t>Design Report for Montague (DM3B</w:t>
      </w:r>
      <w:r>
        <w:t>)</w:t>
      </w:r>
      <w:r w:rsidR="0003454B">
        <w:t xml:space="preserve"> which set out its Vision, preferred character and proposed changes for the Precinct, as well as its proposed Urban Structure.  This report was well considered and </w:t>
      </w:r>
      <w:r w:rsidR="006B08A6">
        <w:t>articulated</w:t>
      </w:r>
      <w:r w:rsidR="0003454B">
        <w:t xml:space="preserve"> and provided the Review Panel with </w:t>
      </w:r>
      <w:r w:rsidR="00F45EA2">
        <w:t xml:space="preserve">clear guidance and </w:t>
      </w:r>
      <w:r w:rsidR="00662A71">
        <w:t xml:space="preserve">Port Phillip’s </w:t>
      </w:r>
      <w:r w:rsidR="00F45EA2">
        <w:t>intent on how it saw Montague developing.  This is not to say that the Review Panel agreed with all that Council put forward</w:t>
      </w:r>
      <w:r w:rsidR="00662A71">
        <w:t>,</w:t>
      </w:r>
      <w:r w:rsidR="00F45EA2">
        <w:t xml:space="preserve"> but it appreciates the work that went into </w:t>
      </w:r>
      <w:r w:rsidR="00662A71">
        <w:t xml:space="preserve">the </w:t>
      </w:r>
      <w:r w:rsidR="00F45EA2">
        <w:t>Urban Design report, particular</w:t>
      </w:r>
      <w:r w:rsidR="00152469">
        <w:t>ly</w:t>
      </w:r>
      <w:r w:rsidR="00F45EA2">
        <w:t xml:space="preserve"> in setting out the Montague Urban Structure.  </w:t>
      </w:r>
      <w:r w:rsidR="00D84CF1">
        <w:t>As Mr Montebello noted:</w:t>
      </w:r>
    </w:p>
    <w:p w:rsidR="00D84CF1" w:rsidRDefault="001E5246" w:rsidP="0051655B">
      <w:pPr>
        <w:pStyle w:val="PPVQuote"/>
      </w:pPr>
      <w:r>
        <w:t>So</w:t>
      </w:r>
      <w:r w:rsidR="00D84CF1">
        <w:t xml:space="preserve"> far as Montague is concerned, Council’s Montague Urban Design Report (Montague Report) is a comprehensive document that builds on the Council ‘s endorsed submission of 13 December 2017.  The Montague Report critically </w:t>
      </w:r>
      <w:r w:rsidR="00D84CF1">
        <w:lastRenderedPageBreak/>
        <w:t xml:space="preserve">assesses Amendment GC81 against the Vision and further develops </w:t>
      </w:r>
      <w:r w:rsidR="0051655B">
        <w:t>the ideas within the Framework.  It is a refinement of work that the Taskforce has done.  It represented work completed over the last 6 months by highly experienced urban designers, place makers and strategic</w:t>
      </w:r>
      <w:r w:rsidR="00152469" w:rsidRPr="00152469">
        <w:t xml:space="preserve"> </w:t>
      </w:r>
      <w:r w:rsidR="00152469">
        <w:t>planners.</w:t>
      </w:r>
      <w:r w:rsidR="00152469">
        <w:rPr>
          <w:rStyle w:val="FootnoteReference"/>
        </w:rPr>
        <w:footnoteReference w:id="5"/>
      </w:r>
    </w:p>
    <w:p w:rsidR="0051655B" w:rsidRDefault="0051655B" w:rsidP="00E8463C">
      <w:pPr>
        <w:pStyle w:val="PPVBody"/>
      </w:pPr>
      <w:r>
        <w:t xml:space="preserve">Some parties questioned the work undertaken by </w:t>
      </w:r>
      <w:r w:rsidR="00662A71">
        <w:t xml:space="preserve">Port Phillip </w:t>
      </w:r>
      <w:r>
        <w:t xml:space="preserve">in that </w:t>
      </w:r>
      <w:r w:rsidR="00253AD7">
        <w:t xml:space="preserve">they saw it </w:t>
      </w:r>
      <w:r>
        <w:t>represent</w:t>
      </w:r>
      <w:r w:rsidR="00253AD7">
        <w:t xml:space="preserve">ing </w:t>
      </w:r>
      <w:r>
        <w:t xml:space="preserve">new work that was not able to be tested.  However, as </w:t>
      </w:r>
      <w:r w:rsidR="00662A71">
        <w:t xml:space="preserve">Mr Montebello </w:t>
      </w:r>
      <w:r>
        <w:t>noted, it was consistent with its written submission and sought to provide its response in plan form through the Urban Structure Plan.</w:t>
      </w:r>
    </w:p>
    <w:p w:rsidR="00A5487E" w:rsidRPr="00E8463C" w:rsidRDefault="00F45EA2" w:rsidP="00E8463C">
      <w:pPr>
        <w:pStyle w:val="PPVBody"/>
      </w:pPr>
      <w:r>
        <w:t xml:space="preserve">The Review Panel makes the point that it would have been useful </w:t>
      </w:r>
      <w:r w:rsidR="00253AD7">
        <w:t>had this level of detail been prepared by the Minister for all P</w:t>
      </w:r>
      <w:r>
        <w:t>recinct</w:t>
      </w:r>
      <w:r w:rsidR="00253AD7">
        <w:t>s</w:t>
      </w:r>
      <w:r>
        <w:t xml:space="preserve"> as part of the exhibition m</w:t>
      </w:r>
      <w:r w:rsidR="00253AD7">
        <w:t>aterial.  This was</w:t>
      </w:r>
      <w:r>
        <w:t xml:space="preserve"> a matter that the Minister did pick up on later in the hearing process.</w:t>
      </w:r>
      <w:r w:rsidR="0051655B">
        <w:t xml:space="preserve">  Such plans as prepared by </w:t>
      </w:r>
      <w:r w:rsidR="00622AA3">
        <w:t xml:space="preserve">Port Phillip </w:t>
      </w:r>
      <w:r w:rsidR="0051655B">
        <w:t xml:space="preserve">(and </w:t>
      </w:r>
      <w:r w:rsidR="00253AD7">
        <w:t>for the Sandridge and Wirraway P</w:t>
      </w:r>
      <w:r w:rsidR="0051655B">
        <w:t>recincts) go a long way towards highlight</w:t>
      </w:r>
      <w:r w:rsidR="006B08A6">
        <w:t>ing</w:t>
      </w:r>
      <w:r w:rsidR="0051655B">
        <w:t xml:space="preserve"> how the </w:t>
      </w:r>
      <w:r w:rsidR="00253AD7">
        <w:t>P</w:t>
      </w:r>
      <w:r w:rsidR="0051655B">
        <w:t xml:space="preserve">recinct </w:t>
      </w:r>
      <w:r w:rsidR="00253AD7">
        <w:t>P</w:t>
      </w:r>
      <w:r w:rsidR="0051655B">
        <w:t>lans could be developed.</w:t>
      </w:r>
    </w:p>
    <w:p w:rsidR="001B340C" w:rsidRDefault="00E508F1" w:rsidP="001B340C">
      <w:pPr>
        <w:pStyle w:val="Heading2"/>
      </w:pPr>
      <w:bookmarkStart w:id="32" w:name="_Toc519849252"/>
      <w:r>
        <w:t xml:space="preserve">Proposed </w:t>
      </w:r>
      <w:r w:rsidR="00622AA3">
        <w:t>b</w:t>
      </w:r>
      <w:r w:rsidR="001B340C">
        <w:t>uilt form</w:t>
      </w:r>
      <w:bookmarkEnd w:id="32"/>
    </w:p>
    <w:p w:rsidR="001B340C" w:rsidRPr="001B340C" w:rsidRDefault="001B340C" w:rsidP="001B340C">
      <w:pPr>
        <w:pStyle w:val="PPVBody"/>
      </w:pPr>
      <w:r w:rsidRPr="001B340C">
        <w:t xml:space="preserve">The </w:t>
      </w:r>
      <w:r w:rsidRPr="00253AD7">
        <w:rPr>
          <w:i/>
        </w:rPr>
        <w:t>Urban Design Strategy</w:t>
      </w:r>
      <w:r w:rsidRPr="001B340C">
        <w:t xml:space="preserve"> defines the preferred bu</w:t>
      </w:r>
      <w:r w:rsidR="00F45F1E">
        <w:t>ilding typology in Montague as:</w:t>
      </w:r>
    </w:p>
    <w:p w:rsidR="001B340C" w:rsidRDefault="001B340C" w:rsidP="001B340C">
      <w:pPr>
        <w:pStyle w:val="PPVQuote"/>
      </w:pPr>
      <w:r w:rsidRPr="001B340C">
        <w:t xml:space="preserve">Tower developments are still supported in Montague North, however the overall heights have been reduced to align with revised density targets and to increase the amount of sunlight reaching the southern side of streets, particularly Normanby Road, to support the creation of a high-quality civic spine. </w:t>
      </w:r>
      <w:r w:rsidR="00B07049">
        <w:t xml:space="preserve"> </w:t>
      </w:r>
      <w:r w:rsidRPr="001B340C">
        <w:t xml:space="preserve">In Montague South, height limits are set to maximise the amenity of the Buckhurst St local centres and to transition overall height limits towards the lower scale precincts of South Melbourne. </w:t>
      </w:r>
      <w:r w:rsidR="00B07049">
        <w:t xml:space="preserve"> </w:t>
      </w:r>
      <w:r w:rsidRPr="001B340C">
        <w:t>Generally 8 storey height limit in the non-core areas is proposed, reducing to 4 storeys at the interface</w:t>
      </w:r>
      <w:r w:rsidR="00622AA3">
        <w:t>.</w:t>
      </w:r>
      <w:r>
        <w:rPr>
          <w:rStyle w:val="FootnoteReference"/>
        </w:rPr>
        <w:footnoteReference w:id="6"/>
      </w:r>
    </w:p>
    <w:p w:rsidR="003D0613" w:rsidRDefault="003D0613" w:rsidP="005B36E5">
      <w:pPr>
        <w:pStyle w:val="PPVBody"/>
      </w:pPr>
      <w:r>
        <w:t xml:space="preserve">The tallest built form for Fishermans Bend is </w:t>
      </w:r>
      <w:r w:rsidR="00E8463C">
        <w:t xml:space="preserve">anticipated in Montague North and parts of Montague South. </w:t>
      </w:r>
      <w:r w:rsidR="00B07049">
        <w:t xml:space="preserve"> </w:t>
      </w:r>
      <w:r w:rsidR="00E8463C">
        <w:t xml:space="preserve">Tower </w:t>
      </w:r>
      <w:r w:rsidR="006B08A6">
        <w:t>f</w:t>
      </w:r>
      <w:r w:rsidR="00E8463C">
        <w:t>orm is not supported in the non-core areas of Montague</w:t>
      </w:r>
      <w:r w:rsidR="00622AA3">
        <w:t>.</w:t>
      </w:r>
      <w:r w:rsidR="00E8463C">
        <w:rPr>
          <w:rStyle w:val="FootnoteReference"/>
        </w:rPr>
        <w:footnoteReference w:id="7"/>
      </w:r>
    </w:p>
    <w:p w:rsidR="005B36E5" w:rsidRPr="005B36E5" w:rsidRDefault="005B36E5" w:rsidP="005B36E5">
      <w:pPr>
        <w:pStyle w:val="PPVBody"/>
      </w:pPr>
      <w:r w:rsidRPr="005B36E5">
        <w:t xml:space="preserve">The proposed DDO schedule provides for maximum </w:t>
      </w:r>
      <w:r w:rsidR="00F04B87">
        <w:t xml:space="preserve">discretionary </w:t>
      </w:r>
      <w:r w:rsidRPr="005B36E5">
        <w:t>building heights in the Montague core of 12-24 storeys (42.2</w:t>
      </w:r>
      <w:r w:rsidR="00B07049">
        <w:t xml:space="preserve"> </w:t>
      </w:r>
      <w:r w:rsidRPr="005B36E5">
        <w:t>-</w:t>
      </w:r>
      <w:r w:rsidR="00B07049">
        <w:t xml:space="preserve"> </w:t>
      </w:r>
      <w:r w:rsidRPr="005B36E5">
        <w:t>80.6</w:t>
      </w:r>
      <w:r w:rsidR="00B07049">
        <w:t xml:space="preserve"> </w:t>
      </w:r>
      <w:r w:rsidRPr="005B36E5">
        <w:t>m</w:t>
      </w:r>
      <w:r>
        <w:t>etres</w:t>
      </w:r>
      <w:r w:rsidRPr="005B36E5">
        <w:t>), with small</w:t>
      </w:r>
      <w:r w:rsidR="004E366C">
        <w:t>er</w:t>
      </w:r>
      <w:r w:rsidRPr="005B36E5">
        <w:t xml:space="preserve"> areas with </w:t>
      </w:r>
      <w:r w:rsidR="00F04B87">
        <w:t xml:space="preserve">maximum </w:t>
      </w:r>
      <w:r w:rsidR="00F45F1E">
        <w:t>discretionary heights of:</w:t>
      </w:r>
    </w:p>
    <w:p w:rsidR="005B36E5" w:rsidRPr="005B36E5" w:rsidRDefault="005B36E5" w:rsidP="005B36E5">
      <w:pPr>
        <w:pStyle w:val="PPVBullet1"/>
      </w:pPr>
      <w:r w:rsidRPr="005B36E5">
        <w:t>23</w:t>
      </w:r>
      <w:r w:rsidR="00B07049">
        <w:t xml:space="preserve"> metres </w:t>
      </w:r>
      <w:r w:rsidRPr="005B36E5">
        <w:t>(6 storeys)</w:t>
      </w:r>
      <w:r w:rsidR="00B07049">
        <w:t xml:space="preserve"> </w:t>
      </w:r>
      <w:r w:rsidRPr="005B36E5">
        <w:t>on the no</w:t>
      </w:r>
      <w:r w:rsidR="00F45F1E">
        <w:t>rth side of Montague North Park</w:t>
      </w:r>
    </w:p>
    <w:p w:rsidR="005B36E5" w:rsidRPr="005B36E5" w:rsidRDefault="005B36E5" w:rsidP="005B36E5">
      <w:pPr>
        <w:pStyle w:val="PPVBullet1"/>
      </w:pPr>
      <w:r w:rsidRPr="005B36E5">
        <w:t>29.4</w:t>
      </w:r>
      <w:r w:rsidR="00F04B87">
        <w:t xml:space="preserve"> </w:t>
      </w:r>
      <w:r w:rsidR="00B07049">
        <w:t>metres</w:t>
      </w:r>
      <w:r w:rsidRPr="005B36E5">
        <w:t xml:space="preserve"> (8 </w:t>
      </w:r>
      <w:r w:rsidR="00B07049">
        <w:t xml:space="preserve">storeys) </w:t>
      </w:r>
      <w:r w:rsidRPr="005B36E5">
        <w:t>o</w:t>
      </w:r>
      <w:r w:rsidR="00C9586A">
        <w:t xml:space="preserve">n </w:t>
      </w:r>
      <w:r w:rsidR="00F45F1E">
        <w:t>the east side of Ferrars Street</w:t>
      </w:r>
    </w:p>
    <w:p w:rsidR="005B36E5" w:rsidRPr="005B36E5" w:rsidRDefault="005B36E5" w:rsidP="005B36E5">
      <w:pPr>
        <w:pStyle w:val="PPVBullet1"/>
      </w:pPr>
      <w:r w:rsidRPr="005B36E5">
        <w:t>29.4</w:t>
      </w:r>
      <w:r w:rsidR="00B07049">
        <w:t xml:space="preserve"> metres and 35.8 metres (8 and 10 storeys) </w:t>
      </w:r>
      <w:r w:rsidRPr="005B36E5">
        <w:t>a</w:t>
      </w:r>
      <w:r w:rsidR="00F45F1E">
        <w:t>t the southern edge of the core</w:t>
      </w:r>
    </w:p>
    <w:p w:rsidR="005B36E5" w:rsidRPr="005B36E5" w:rsidRDefault="005B36E5" w:rsidP="005B36E5">
      <w:pPr>
        <w:pStyle w:val="PPVBullet1"/>
      </w:pPr>
      <w:r w:rsidRPr="005B36E5">
        <w:t>15.4</w:t>
      </w:r>
      <w:r w:rsidR="00B07049">
        <w:t xml:space="preserve"> metres (4 storeys) </w:t>
      </w:r>
      <w:r w:rsidRPr="005B36E5">
        <w:t>to the northwest and northeast of the propose</w:t>
      </w:r>
      <w:r w:rsidR="00F04B87">
        <w:t>d park on Thistlethwaite Street.</w:t>
      </w:r>
    </w:p>
    <w:p w:rsidR="00854CF9" w:rsidRDefault="00854CF9" w:rsidP="00854CF9">
      <w:pPr>
        <w:pStyle w:val="Heading2"/>
      </w:pPr>
      <w:bookmarkStart w:id="33" w:name="_Toc519849253"/>
      <w:r>
        <w:t>Key issues</w:t>
      </w:r>
      <w:bookmarkEnd w:id="33"/>
    </w:p>
    <w:p w:rsidR="00854CF9" w:rsidRDefault="00AE364D" w:rsidP="00854CF9">
      <w:pPr>
        <w:pStyle w:val="PPVBody"/>
      </w:pPr>
      <w:r>
        <w:t>In essence, the Review Panel supports the following key changes made by the Minister during the course of the Hearing and these are not repeated in this report or expanded upon:</w:t>
      </w:r>
    </w:p>
    <w:p w:rsidR="007861E0" w:rsidRDefault="007861E0" w:rsidP="00AE364D">
      <w:pPr>
        <w:pStyle w:val="PPVBullet1"/>
      </w:pPr>
      <w:r>
        <w:lastRenderedPageBreak/>
        <w:t>general support for the Vision for Montague and i</w:t>
      </w:r>
      <w:r w:rsidR="00F45F1E">
        <w:t>ts diverse built form character</w:t>
      </w:r>
    </w:p>
    <w:p w:rsidR="007861E0" w:rsidRDefault="007861E0" w:rsidP="00AE364D">
      <w:pPr>
        <w:pStyle w:val="PPVBullet1"/>
      </w:pPr>
      <w:r>
        <w:t>general support for the discretionary and mandatory heights for Montague as expressed through the Part C revisions</w:t>
      </w:r>
      <w:r w:rsidR="00087331">
        <w:t xml:space="preserve"> by the Minister</w:t>
      </w:r>
    </w:p>
    <w:p w:rsidR="00AE364D" w:rsidRDefault="00622AA3" w:rsidP="00AE364D">
      <w:pPr>
        <w:pStyle w:val="PPVBullet1"/>
      </w:pPr>
      <w:r>
        <w:t xml:space="preserve">subject to the Review Panel’s detailed recommendations about the form of density controls in this report and the Overview Report, it supports </w:t>
      </w:r>
      <w:r w:rsidR="00AE364D">
        <w:t xml:space="preserve">expanding the Montague core and revising the </w:t>
      </w:r>
      <w:r w:rsidR="00242D2A">
        <w:t xml:space="preserve">core </w:t>
      </w:r>
      <w:r>
        <w:t xml:space="preserve">density to a </w:t>
      </w:r>
      <w:r w:rsidR="00AE364D">
        <w:t xml:space="preserve">FAR </w:t>
      </w:r>
      <w:r>
        <w:t xml:space="preserve">of </w:t>
      </w:r>
      <w:r w:rsidR="00AE364D">
        <w:t>6.3</w:t>
      </w:r>
      <w:r>
        <w:t>:</w:t>
      </w:r>
      <w:r w:rsidR="00AE364D">
        <w:t>1</w:t>
      </w:r>
      <w:r w:rsidR="00941792">
        <w:t xml:space="preserve">, </w:t>
      </w:r>
      <w:r w:rsidR="00242D2A">
        <w:t>however</w:t>
      </w:r>
      <w:r w:rsidR="00941792">
        <w:t xml:space="preserve">, the Review Panel does not support the Port Phillip </w:t>
      </w:r>
      <w:r w:rsidR="00242D2A">
        <w:t>position</w:t>
      </w:r>
      <w:r w:rsidR="00941792">
        <w:t xml:space="preserve"> </w:t>
      </w:r>
      <w:r w:rsidR="00242D2A">
        <w:t>to change 134 and 95 to 117 Buckhurst Street from core to non-core</w:t>
      </w:r>
    </w:p>
    <w:p w:rsidR="007861E0" w:rsidRDefault="007861E0" w:rsidP="00AE364D">
      <w:pPr>
        <w:pStyle w:val="PPVBullet1"/>
      </w:pPr>
      <w:r>
        <w:t>include the Elmarn</w:t>
      </w:r>
      <w:r w:rsidR="00B3516E">
        <w:t xml:space="preserve"> (S17)</w:t>
      </w:r>
      <w:r>
        <w:t>, Surveyors Place</w:t>
      </w:r>
      <w:r w:rsidR="00B3516E">
        <w:t xml:space="preserve"> (S249)</w:t>
      </w:r>
      <w:r>
        <w:t>, Carri Nominees</w:t>
      </w:r>
      <w:r w:rsidR="00B3516E">
        <w:t xml:space="preserve"> (S123)</w:t>
      </w:r>
      <w:r>
        <w:t>, Marlton</w:t>
      </w:r>
      <w:r w:rsidR="00B3516E">
        <w:t xml:space="preserve"> Investments (S164) </w:t>
      </w:r>
      <w:r w:rsidR="00D01D43">
        <w:t>(</w:t>
      </w:r>
      <w:r w:rsidR="00253AD7">
        <w:t xml:space="preserve">and relevant surrounding </w:t>
      </w:r>
      <w:r w:rsidR="00B3516E">
        <w:t>sites</w:t>
      </w:r>
      <w:r w:rsidR="00D01D43">
        <w:t>)</w:t>
      </w:r>
      <w:r w:rsidR="00B3516E">
        <w:t xml:space="preserve"> within the Montague core</w:t>
      </w:r>
    </w:p>
    <w:p w:rsidR="00AE364D" w:rsidRDefault="00AE364D" w:rsidP="00AE364D">
      <w:pPr>
        <w:pStyle w:val="PPVBullet1"/>
      </w:pPr>
      <w:r>
        <w:t>provid</w:t>
      </w:r>
      <w:r w:rsidR="00622AA3">
        <w:t>e</w:t>
      </w:r>
      <w:r>
        <w:t xml:space="preserve"> </w:t>
      </w:r>
      <w:r w:rsidR="000F4900">
        <w:t>a Precinct specific</w:t>
      </w:r>
      <w:r>
        <w:t xml:space="preserve"> </w:t>
      </w:r>
      <w:r w:rsidR="000F4900">
        <w:t>DDO</w:t>
      </w:r>
      <w:r>
        <w:t xml:space="preserve"> for Montague (and the other </w:t>
      </w:r>
      <w:r w:rsidR="00622AA3">
        <w:t>p</w:t>
      </w:r>
      <w:r>
        <w:t>recincts)</w:t>
      </w:r>
    </w:p>
    <w:p w:rsidR="00AE364D" w:rsidRDefault="000F4900" w:rsidP="00AE364D">
      <w:pPr>
        <w:pStyle w:val="PPVBullet1"/>
      </w:pPr>
      <w:r>
        <w:t>prepar</w:t>
      </w:r>
      <w:r w:rsidR="00622AA3">
        <w:t>e</w:t>
      </w:r>
      <w:r>
        <w:t xml:space="preserve"> plans for each </w:t>
      </w:r>
      <w:r w:rsidR="00253AD7">
        <w:t>P</w:t>
      </w:r>
      <w:r w:rsidR="00622AA3">
        <w:t xml:space="preserve">recinct </w:t>
      </w:r>
      <w:r>
        <w:t xml:space="preserve">(and the Review Panel considers </w:t>
      </w:r>
      <w:r w:rsidR="00622AA3">
        <w:t xml:space="preserve">the Montague Precinct Plan </w:t>
      </w:r>
      <w:r>
        <w:t>should be largely based on the Urban Structure</w:t>
      </w:r>
      <w:r w:rsidR="00F45F1E">
        <w:t xml:space="preserve"> Plan prepared by Port Phillip)</w:t>
      </w:r>
    </w:p>
    <w:p w:rsidR="000F4900" w:rsidRDefault="000F4900" w:rsidP="00AE364D">
      <w:pPr>
        <w:pStyle w:val="PPVBullet1"/>
      </w:pPr>
      <w:r>
        <w:t>delet</w:t>
      </w:r>
      <w:r w:rsidR="00487A43">
        <w:t>e</w:t>
      </w:r>
      <w:r>
        <w:t xml:space="preserve"> the open space </w:t>
      </w:r>
      <w:r w:rsidR="00242D2A">
        <w:t xml:space="preserve">and overshadowing controls </w:t>
      </w:r>
      <w:r>
        <w:t>at 87 Gladstone Street</w:t>
      </w:r>
    </w:p>
    <w:p w:rsidR="000F4900" w:rsidRDefault="000F4900" w:rsidP="00AE364D">
      <w:pPr>
        <w:pStyle w:val="PPVBullet1"/>
      </w:pPr>
      <w:r>
        <w:t>provide for a new public open space at 101-109 Thistle</w:t>
      </w:r>
      <w:r w:rsidR="00F73890">
        <w:t>th</w:t>
      </w:r>
      <w:r>
        <w:t>waite Street</w:t>
      </w:r>
    </w:p>
    <w:p w:rsidR="000F4900" w:rsidRDefault="000F4900" w:rsidP="00AE364D">
      <w:pPr>
        <w:pStyle w:val="PPVBullet1"/>
      </w:pPr>
      <w:r>
        <w:t>provid</w:t>
      </w:r>
      <w:r w:rsidR="00487A43">
        <w:t>e</w:t>
      </w:r>
      <w:r>
        <w:t xml:space="preserve"> a </w:t>
      </w:r>
      <w:r w:rsidR="00242D2A">
        <w:t xml:space="preserve">12 metre wide </w:t>
      </w:r>
      <w:r>
        <w:t>linear park within the Johnson Street road reserve</w:t>
      </w:r>
    </w:p>
    <w:p w:rsidR="000F4900" w:rsidRDefault="000F4900" w:rsidP="00AE364D">
      <w:pPr>
        <w:pStyle w:val="PPVBullet1"/>
      </w:pPr>
      <w:r>
        <w:t>undertak</w:t>
      </w:r>
      <w:r w:rsidR="00487A43">
        <w:t>e</w:t>
      </w:r>
      <w:r>
        <w:t xml:space="preserve"> further work on the location of laneways and specify a minimum width of 9 metres for those that provide vehicular access</w:t>
      </w:r>
    </w:p>
    <w:p w:rsidR="000F4900" w:rsidRDefault="000F4900" w:rsidP="00AE364D">
      <w:pPr>
        <w:pStyle w:val="PPVBullet1"/>
      </w:pPr>
      <w:r>
        <w:t>promot</w:t>
      </w:r>
      <w:r w:rsidR="00487A43">
        <w:t>e</w:t>
      </w:r>
      <w:r>
        <w:t xml:space="preserve"> a ‘tooth and gap’ typology approach to any site with a frontage over 50 metres </w:t>
      </w:r>
      <w:r w:rsidRPr="00253AD7">
        <w:t xml:space="preserve">on </w:t>
      </w:r>
      <w:r w:rsidR="00487A43" w:rsidRPr="00253AD7">
        <w:t xml:space="preserve">the north side of </w:t>
      </w:r>
      <w:r w:rsidRPr="00253AD7">
        <w:t>Buckhurst</w:t>
      </w:r>
      <w:r>
        <w:t xml:space="preserve"> Street (between Montague and Ferrars Street</w:t>
      </w:r>
      <w:r w:rsidR="00487A43">
        <w:t>s</w:t>
      </w:r>
      <w:r>
        <w:t>)</w:t>
      </w:r>
    </w:p>
    <w:p w:rsidR="000F4900" w:rsidRDefault="000F4900" w:rsidP="00AE364D">
      <w:pPr>
        <w:pStyle w:val="PPVBullet1"/>
      </w:pPr>
      <w:r>
        <w:t>minimis</w:t>
      </w:r>
      <w:r w:rsidR="00487A43">
        <w:t>e</w:t>
      </w:r>
      <w:r>
        <w:t xml:space="preserve"> the risk of overshadowing </w:t>
      </w:r>
      <w:r w:rsidR="00242D2A">
        <w:t xml:space="preserve">at </w:t>
      </w:r>
      <w:r>
        <w:t xml:space="preserve">the </w:t>
      </w:r>
      <w:r w:rsidR="00087331">
        <w:t xml:space="preserve">footpaths </w:t>
      </w:r>
      <w:r w:rsidR="00242D2A">
        <w:t>of</w:t>
      </w:r>
      <w:r w:rsidR="00087331">
        <w:t xml:space="preserve"> </w:t>
      </w:r>
      <w:r>
        <w:t>South Melbourne Market through the DDO</w:t>
      </w:r>
    </w:p>
    <w:p w:rsidR="000F4900" w:rsidRDefault="007861E0" w:rsidP="00AE364D">
      <w:pPr>
        <w:pStyle w:val="PPVBullet1"/>
      </w:pPr>
      <w:r>
        <w:t>increase the height of 123 Montague Street from 12 to 18 storeys</w:t>
      </w:r>
      <w:r w:rsidR="00400454">
        <w:t>.</w:t>
      </w:r>
    </w:p>
    <w:p w:rsidR="00D23BAA" w:rsidRDefault="00D23BAA" w:rsidP="00D23BAA">
      <w:pPr>
        <w:pStyle w:val="PPVBody"/>
      </w:pPr>
      <w:r>
        <w:t xml:space="preserve">The </w:t>
      </w:r>
      <w:r w:rsidR="00242D2A">
        <w:t xml:space="preserve">remaining </w:t>
      </w:r>
      <w:r>
        <w:t>key issues to be addressed are:</w:t>
      </w:r>
    </w:p>
    <w:p w:rsidR="00671506" w:rsidRDefault="00671506" w:rsidP="00671506">
      <w:pPr>
        <w:pStyle w:val="PPVBullet1"/>
      </w:pPr>
      <w:r>
        <w:t>urban structure and built form</w:t>
      </w:r>
    </w:p>
    <w:p w:rsidR="00671506" w:rsidRDefault="00671506" w:rsidP="00671506">
      <w:pPr>
        <w:pStyle w:val="PPVBullet1"/>
      </w:pPr>
      <w:r>
        <w:t>location of open space</w:t>
      </w:r>
    </w:p>
    <w:p w:rsidR="00671506" w:rsidRDefault="00671506" w:rsidP="00671506">
      <w:pPr>
        <w:pStyle w:val="PPVBullet1"/>
      </w:pPr>
      <w:r>
        <w:t>location of hubs</w:t>
      </w:r>
    </w:p>
    <w:p w:rsidR="00671506" w:rsidRDefault="00671506" w:rsidP="00671506">
      <w:pPr>
        <w:pStyle w:val="PPVBullet1"/>
      </w:pPr>
      <w:r>
        <w:t>overshadowing of Buckhurst Street and the South Melbourne Market Precinct</w:t>
      </w:r>
    </w:p>
    <w:p w:rsidR="00671506" w:rsidRPr="00A462FE" w:rsidRDefault="00671506" w:rsidP="00671506">
      <w:pPr>
        <w:pStyle w:val="PPVBullet1"/>
      </w:pPr>
      <w:r>
        <w:t>roads and transport infrastructure.</w:t>
      </w:r>
    </w:p>
    <w:p w:rsidR="00222A51" w:rsidRPr="00233351" w:rsidRDefault="00F04B87" w:rsidP="00445060">
      <w:pPr>
        <w:pStyle w:val="Heading1"/>
      </w:pPr>
      <w:bookmarkStart w:id="34" w:name="_Toc519849254"/>
      <w:bookmarkEnd w:id="29"/>
      <w:r>
        <w:lastRenderedPageBreak/>
        <w:t>Urban structure and built form</w:t>
      </w:r>
      <w:bookmarkEnd w:id="34"/>
    </w:p>
    <w:p w:rsidR="00222A51" w:rsidRDefault="00A462FE" w:rsidP="00B67CC7">
      <w:pPr>
        <w:pStyle w:val="Heading2"/>
      </w:pPr>
      <w:bookmarkStart w:id="35" w:name="_Toc519849255"/>
      <w:r>
        <w:t>Context</w:t>
      </w:r>
      <w:bookmarkEnd w:id="35"/>
    </w:p>
    <w:p w:rsidR="00F04B87" w:rsidRDefault="00F04B87" w:rsidP="00F04B87">
      <w:pPr>
        <w:pStyle w:val="Heading4"/>
      </w:pPr>
      <w:r>
        <w:t>Building heights</w:t>
      </w:r>
    </w:p>
    <w:p w:rsidR="00024550" w:rsidRDefault="00024550" w:rsidP="00F04B87">
      <w:pPr>
        <w:pStyle w:val="PPVBody"/>
      </w:pPr>
      <w:r>
        <w:t>The core area of Montague includes all of Montague North, the area bound by Montague, Thistle</w:t>
      </w:r>
      <w:r w:rsidR="00F73890">
        <w:t>th</w:t>
      </w:r>
      <w:r>
        <w:t>waite, Kerr and Gladstone Streets, and two smaller parcels south of Montague Street on either side of Buckhurst Street.</w:t>
      </w:r>
    </w:p>
    <w:p w:rsidR="00487A43" w:rsidRDefault="00152469" w:rsidP="00152469">
      <w:pPr>
        <w:pStyle w:val="PPVBody"/>
      </w:pPr>
      <w:r>
        <w:t>Through Clause 21.06-8 and the DDO, six subprecincts are identified in Montague.  These are shown in Figure 4.</w:t>
      </w:r>
    </w:p>
    <w:p w:rsidR="00152469" w:rsidRDefault="00487A43" w:rsidP="00152469">
      <w:pPr>
        <w:pStyle w:val="PPVBody"/>
      </w:pPr>
      <w:r>
        <w:t>Building heights vary by location, but these are not directly correlated with the subprecinct boundaries, or the core</w:t>
      </w:r>
      <w:r w:rsidR="00F45F1E">
        <w:t xml:space="preserve"> and non-core area boundaries.</w:t>
      </w:r>
    </w:p>
    <w:p w:rsidR="00152469" w:rsidRDefault="00152469" w:rsidP="00152469">
      <w:pPr>
        <w:pStyle w:val="Caption"/>
      </w:pPr>
      <w:r>
        <w:t xml:space="preserve">Figure 4: </w:t>
      </w:r>
      <w:r w:rsidR="003223A2">
        <w:tab/>
      </w:r>
      <w:r>
        <w:t>Montague subprecinct map</w:t>
      </w:r>
    </w:p>
    <w:p w:rsidR="00152469" w:rsidRPr="00E67B1D" w:rsidRDefault="00152469" w:rsidP="00152469">
      <w:pPr>
        <w:pStyle w:val="PPVBody"/>
        <w:rPr>
          <w:b/>
        </w:rPr>
      </w:pPr>
      <w:r w:rsidRPr="00FD3799">
        <w:rPr>
          <w:noProof/>
          <w:color w:val="0000FF"/>
          <w:bdr w:val="none" w:sz="0" w:space="0" w:color="auto" w:frame="1"/>
        </w:rPr>
        <w:drawing>
          <wp:inline distT="0" distB="0" distL="0" distR="0" wp14:anchorId="4A63112F" wp14:editId="5597113D">
            <wp:extent cx="4107447" cy="4133850"/>
            <wp:effectExtent l="0" t="0" r="7620" b="0"/>
            <wp:docPr id="9" name="Picture 9" descr="CoPP M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P MSS"/>
                    <pic:cNvPicPr>
                      <a:picLocks noChangeAspect="1" noChangeArrowheads="1"/>
                    </pic:cNvPicPr>
                  </pic:nvPicPr>
                  <pic:blipFill rotWithShape="1">
                    <a:blip r:embed="rId30">
                      <a:extLst>
                        <a:ext uri="{28A0092B-C50C-407E-A947-70E740481C1C}">
                          <a14:useLocalDpi xmlns:a14="http://schemas.microsoft.com/office/drawing/2010/main" val="0"/>
                        </a:ext>
                      </a:extLst>
                    </a:blip>
                    <a:srcRect l="51739" t="31167" r="25687" b="36600"/>
                    <a:stretch/>
                  </pic:blipFill>
                  <pic:spPr bwMode="auto">
                    <a:xfrm>
                      <a:off x="0" y="0"/>
                      <a:ext cx="4141701" cy="4168324"/>
                    </a:xfrm>
                    <a:prstGeom prst="rect">
                      <a:avLst/>
                    </a:prstGeom>
                    <a:noFill/>
                    <a:ln>
                      <a:noFill/>
                    </a:ln>
                    <a:extLst>
                      <a:ext uri="{53640926-AAD7-44D8-BBD7-CCE9431645EC}">
                        <a14:shadowObscured xmlns:a14="http://schemas.microsoft.com/office/drawing/2010/main"/>
                      </a:ext>
                    </a:extLst>
                  </pic:spPr>
                </pic:pic>
              </a:graphicData>
            </a:graphic>
          </wp:inline>
        </w:drawing>
      </w:r>
    </w:p>
    <w:p w:rsidR="00152469" w:rsidRPr="00152469" w:rsidRDefault="00152469" w:rsidP="00152469">
      <w:pPr>
        <w:pStyle w:val="PPVBody"/>
        <w:rPr>
          <w:sz w:val="20"/>
          <w:szCs w:val="20"/>
        </w:rPr>
      </w:pPr>
      <w:r w:rsidRPr="00152469">
        <w:rPr>
          <w:sz w:val="20"/>
          <w:szCs w:val="20"/>
        </w:rPr>
        <w:t>Source: Submission of the Minister for Planning for Montague Precinct (DM2)</w:t>
      </w:r>
    </w:p>
    <w:p w:rsidR="009436F4" w:rsidRDefault="009436F4" w:rsidP="009436F4">
      <w:pPr>
        <w:pStyle w:val="PPVBody"/>
      </w:pPr>
      <w:r>
        <w:t xml:space="preserve">M1 is Montague North, which is seen as the gateway to Fishermans Bend from the </w:t>
      </w:r>
      <w:r w:rsidR="00487A43">
        <w:t>CBD</w:t>
      </w:r>
      <w:r>
        <w:t xml:space="preserve">, and is the area proposed for the highest building heights.  The building typology is for </w:t>
      </w:r>
      <w:r w:rsidR="00CF2427">
        <w:t>mid</w:t>
      </w:r>
      <w:r w:rsidR="00487A43">
        <w:t>-rise</w:t>
      </w:r>
      <w:r w:rsidR="00CF2427">
        <w:t xml:space="preserve"> to</w:t>
      </w:r>
      <w:r w:rsidR="00F73890">
        <w:t xml:space="preserve"> high-</w:t>
      </w:r>
      <w:r w:rsidR="00CF2427">
        <w:t xml:space="preserve">rise </w:t>
      </w:r>
      <w:r>
        <w:t xml:space="preserve">hybrid developments and tower built forms.  Montague North is proposed to have active frontages and provide good levels of amenity through access to sunlight.  Under the existing planning controls, building heights of up to 40 </w:t>
      </w:r>
      <w:r w:rsidR="005A08D4">
        <w:t>s</w:t>
      </w:r>
      <w:r>
        <w:t xml:space="preserve">toreys (mandatory) currently apply, and the Review Panel notes there is significant permit activity in M1 through existing permits </w:t>
      </w:r>
      <w:r>
        <w:lastRenderedPageBreak/>
        <w:t>and current applications.</w:t>
      </w:r>
      <w:r w:rsidR="00195253">
        <w:t xml:space="preserve">  The </w:t>
      </w:r>
      <w:r w:rsidR="00487A43">
        <w:t xml:space="preserve">proposed </w:t>
      </w:r>
      <w:r w:rsidR="00195253">
        <w:t xml:space="preserve">preferred discretionary height for M1 range from 20 to 23 storeys, except for an area north of the proposed Montague North Park </w:t>
      </w:r>
      <w:r w:rsidR="00487A43">
        <w:t xml:space="preserve">which is proposed </w:t>
      </w:r>
      <w:r w:rsidR="00195253">
        <w:t>to be 6 storeys.</w:t>
      </w:r>
    </w:p>
    <w:p w:rsidR="009436F4" w:rsidRDefault="00253AD7" w:rsidP="009436F4">
      <w:pPr>
        <w:pStyle w:val="PPVBody"/>
      </w:pPr>
      <w:r>
        <w:t xml:space="preserve">The </w:t>
      </w:r>
      <w:r w:rsidR="009436F4">
        <w:t xml:space="preserve">M2 </w:t>
      </w:r>
      <w:r w:rsidR="002C1996">
        <w:t xml:space="preserve">subprecinct includes </w:t>
      </w:r>
      <w:r>
        <w:t xml:space="preserve">a </w:t>
      </w:r>
      <w:r w:rsidR="002C1996">
        <w:t xml:space="preserve">new </w:t>
      </w:r>
      <w:r>
        <w:t xml:space="preserve">vertical </w:t>
      </w:r>
      <w:r w:rsidR="002C1996">
        <w:t>primary school which is now operational</w:t>
      </w:r>
      <w:r w:rsidR="00D43FF1">
        <w:t xml:space="preserve">, </w:t>
      </w:r>
      <w:r w:rsidR="00D23BAA">
        <w:t>diagonally opposite</w:t>
      </w:r>
      <w:r w:rsidR="00CE6984">
        <w:t xml:space="preserve"> </w:t>
      </w:r>
      <w:r w:rsidR="002C1996">
        <w:t xml:space="preserve">Montague Park, which is under construction.  </w:t>
      </w:r>
      <w:r w:rsidR="00487A43">
        <w:t xml:space="preserve">M2 </w:t>
      </w:r>
      <w:r w:rsidR="002C1996">
        <w:t xml:space="preserve">has a preferred discretionary height of eight storeys which will provide for a mid-rise scale of development that allows for </w:t>
      </w:r>
      <w:r w:rsidR="007609B8">
        <w:t xml:space="preserve">some </w:t>
      </w:r>
      <w:r w:rsidR="002C1996">
        <w:t>upper levels.</w:t>
      </w:r>
    </w:p>
    <w:p w:rsidR="002C1996" w:rsidRDefault="002C1996" w:rsidP="009436F4">
      <w:pPr>
        <w:pStyle w:val="PPVBody"/>
      </w:pPr>
      <w:r>
        <w:t>M3 is located in the north east corner of Montague</w:t>
      </w:r>
      <w:r w:rsidR="005A08D4">
        <w:t>, east of the tram easement and City Road.</w:t>
      </w:r>
      <w:r>
        <w:t xml:space="preserve"> </w:t>
      </w:r>
      <w:r w:rsidR="005A08D4">
        <w:t xml:space="preserve"> </w:t>
      </w:r>
      <w:r w:rsidR="00024550">
        <w:t>It will provide</w:t>
      </w:r>
      <w:r w:rsidR="00152469">
        <w:t xml:space="preserve"> for hybrid developments of mid</w:t>
      </w:r>
      <w:r w:rsidR="005A08D4">
        <w:t xml:space="preserve"> to high</w:t>
      </w:r>
      <w:r w:rsidR="00024550">
        <w:t xml:space="preserve">-rise </w:t>
      </w:r>
      <w:r w:rsidR="005A08D4">
        <w:t>developments</w:t>
      </w:r>
      <w:r w:rsidR="00024550">
        <w:t xml:space="preserve">, with preferred heights </w:t>
      </w:r>
      <w:r w:rsidR="00487A43">
        <w:t xml:space="preserve">ranging from </w:t>
      </w:r>
      <w:r w:rsidR="00024550">
        <w:t>24 storeys to unlimited.  It has few sensitive interfaces.</w:t>
      </w:r>
    </w:p>
    <w:p w:rsidR="002C1996" w:rsidRDefault="002C1996" w:rsidP="009436F4">
      <w:pPr>
        <w:pStyle w:val="PPVBody"/>
      </w:pPr>
      <w:r>
        <w:t>M4 provides a transition from the central core of M5 to a lower built form typology</w:t>
      </w:r>
      <w:r w:rsidR="00024550">
        <w:t xml:space="preserve"> with preferred maximums of eight storeys. </w:t>
      </w:r>
      <w:r w:rsidR="005A08D4">
        <w:t xml:space="preserve"> It includes and abuts some sensitive residential areas and interfaces</w:t>
      </w:r>
      <w:r w:rsidR="007609B8">
        <w:t xml:space="preserve"> to the M6 area</w:t>
      </w:r>
      <w:r w:rsidR="005A08D4">
        <w:t>.</w:t>
      </w:r>
    </w:p>
    <w:p w:rsidR="002C1996" w:rsidRDefault="002C1996" w:rsidP="009436F4">
      <w:pPr>
        <w:pStyle w:val="PPVBody"/>
      </w:pPr>
      <w:r>
        <w:t xml:space="preserve">M5 is the central area of Montague </w:t>
      </w:r>
      <w:r w:rsidR="005A08D4">
        <w:t>South</w:t>
      </w:r>
      <w:r w:rsidR="00487A43">
        <w:t>,</w:t>
      </w:r>
      <w:r w:rsidR="005A08D4">
        <w:t xml:space="preserve"> </w:t>
      </w:r>
      <w:r>
        <w:t xml:space="preserve">with the </w:t>
      </w:r>
      <w:r w:rsidR="005A08D4">
        <w:t xml:space="preserve">key </w:t>
      </w:r>
      <w:r>
        <w:t>focus on the Buckhurst Street civic spine.</w:t>
      </w:r>
      <w:r w:rsidR="00024550">
        <w:t xml:space="preserve">  It will provide for a range of mid-rise </w:t>
      </w:r>
      <w:r w:rsidR="005A08D4">
        <w:t xml:space="preserve">to high-rise </w:t>
      </w:r>
      <w:r w:rsidR="00024550">
        <w:t>tower buildings, including hybrid developments on larger sites, punctuated by well-placed laneways and green spaces.</w:t>
      </w:r>
      <w:r w:rsidR="00195253">
        <w:t xml:space="preserve"> </w:t>
      </w:r>
      <w:r w:rsidR="00D43FF1">
        <w:t xml:space="preserve"> Port Phillip sought to introduce the tooth and gap typology to this area.  </w:t>
      </w:r>
      <w:r w:rsidR="00195253">
        <w:t>The preferred discretionary height for M5 ranges from 12 to 20 storeys.</w:t>
      </w:r>
    </w:p>
    <w:p w:rsidR="00D67DA2" w:rsidRDefault="002C1996" w:rsidP="00D67DA2">
      <w:pPr>
        <w:pStyle w:val="PPVBody"/>
      </w:pPr>
      <w:r>
        <w:t>M6 is the transition of the Precinct to South Melbourne through its interface with City Ro</w:t>
      </w:r>
      <w:r w:rsidR="005A08D4">
        <w:t xml:space="preserve">ad </w:t>
      </w:r>
      <w:r w:rsidR="00487A43">
        <w:t xml:space="preserve">to South Melbourne, </w:t>
      </w:r>
      <w:r w:rsidR="005A08D4">
        <w:t>and Boundary Street to Port Melbourne.</w:t>
      </w:r>
      <w:r w:rsidR="00195253">
        <w:t xml:space="preserve">  </w:t>
      </w:r>
      <w:r w:rsidR="00D67DA2">
        <w:t xml:space="preserve">The </w:t>
      </w:r>
      <w:r w:rsidR="00195253">
        <w:t xml:space="preserve">mandatory height for </w:t>
      </w:r>
      <w:r w:rsidR="00D67DA2">
        <w:t xml:space="preserve">M6 </w:t>
      </w:r>
      <w:r w:rsidR="00195253">
        <w:t>is</w:t>
      </w:r>
      <w:r w:rsidR="007609B8">
        <w:t xml:space="preserve"> 4 storeys</w:t>
      </w:r>
      <w:r w:rsidR="00195253">
        <w:t>.</w:t>
      </w:r>
    </w:p>
    <w:p w:rsidR="00BC7F6F" w:rsidRDefault="00BC7F6F" w:rsidP="00D67DA2">
      <w:pPr>
        <w:pStyle w:val="PPVBody"/>
      </w:pPr>
      <w:r>
        <w:t>The exhibited building heights presented at the opening of the Montague Hearing</w:t>
      </w:r>
      <w:r w:rsidR="00195253">
        <w:rPr>
          <w:rStyle w:val="FootnoteReference"/>
        </w:rPr>
        <w:footnoteReference w:id="8"/>
      </w:r>
      <w:r>
        <w:t xml:space="preserve"> </w:t>
      </w:r>
      <w:r w:rsidR="00487A43">
        <w:t xml:space="preserve">are </w:t>
      </w:r>
      <w:r>
        <w:t>shown in Figure 3.</w:t>
      </w:r>
    </w:p>
    <w:p w:rsidR="00152469" w:rsidRDefault="00152469" w:rsidP="00152469">
      <w:pPr>
        <w:pStyle w:val="Caption"/>
      </w:pPr>
      <w:bookmarkStart w:id="36" w:name="_Toc518994444"/>
      <w:r>
        <w:lastRenderedPageBreak/>
        <w:t xml:space="preserve">Figure </w:t>
      </w:r>
      <w:r>
        <w:rPr>
          <w:noProof/>
        </w:rPr>
        <w:fldChar w:fldCharType="begin"/>
      </w:r>
      <w:r>
        <w:rPr>
          <w:noProof/>
        </w:rPr>
        <w:instrText xml:space="preserve"> SEQ Figure \* ARABIC </w:instrText>
      </w:r>
      <w:r>
        <w:rPr>
          <w:noProof/>
        </w:rPr>
        <w:fldChar w:fldCharType="separate"/>
      </w:r>
      <w:r w:rsidR="0028199F">
        <w:rPr>
          <w:noProof/>
        </w:rPr>
        <w:t>3</w:t>
      </w:r>
      <w:r>
        <w:rPr>
          <w:noProof/>
        </w:rPr>
        <w:fldChar w:fldCharType="end"/>
      </w:r>
      <w:r>
        <w:tab/>
      </w:r>
      <w:r w:rsidR="00D43FF1">
        <w:t>B</w:t>
      </w:r>
      <w:r>
        <w:t>uilding heights in Montague</w:t>
      </w:r>
      <w:bookmarkEnd w:id="36"/>
      <w:r>
        <w:t xml:space="preserve"> </w:t>
      </w:r>
    </w:p>
    <w:p w:rsidR="00152469" w:rsidRDefault="00152469" w:rsidP="00152469">
      <w:pPr>
        <w:pStyle w:val="PPVBody"/>
      </w:pPr>
      <w:r w:rsidRPr="00BE41B4">
        <w:rPr>
          <w:noProof/>
        </w:rPr>
        <w:drawing>
          <wp:inline distT="0" distB="0" distL="0" distR="0" wp14:anchorId="6E406468" wp14:editId="3758D3A8">
            <wp:extent cx="5420563" cy="5648325"/>
            <wp:effectExtent l="0" t="0" r="8890" b="0"/>
            <wp:docPr id="8" name="Picture 8" descr="C:\Users\km62\AppData\Local\Temp\notes0B1790\Montague D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62\AppData\Local\Temp\notes0B1790\Montague DD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6610" cy="5654626"/>
                    </a:xfrm>
                    <a:prstGeom prst="rect">
                      <a:avLst/>
                    </a:prstGeom>
                    <a:noFill/>
                    <a:ln>
                      <a:noFill/>
                    </a:ln>
                  </pic:spPr>
                </pic:pic>
              </a:graphicData>
            </a:graphic>
          </wp:inline>
        </w:drawing>
      </w:r>
    </w:p>
    <w:p w:rsidR="00152469" w:rsidRPr="00152469" w:rsidRDefault="00152469" w:rsidP="00152469">
      <w:pPr>
        <w:pStyle w:val="PPVBody"/>
        <w:rPr>
          <w:sz w:val="20"/>
          <w:szCs w:val="20"/>
        </w:rPr>
      </w:pPr>
      <w:r w:rsidRPr="00152469">
        <w:rPr>
          <w:sz w:val="20"/>
          <w:szCs w:val="20"/>
        </w:rPr>
        <w:t>Source</w:t>
      </w:r>
      <w:r w:rsidR="00195253">
        <w:rPr>
          <w:sz w:val="20"/>
          <w:szCs w:val="20"/>
        </w:rPr>
        <w:t>: Montague (DM1A</w:t>
      </w:r>
      <w:r w:rsidRPr="00152469">
        <w:rPr>
          <w:sz w:val="20"/>
          <w:szCs w:val="20"/>
        </w:rPr>
        <w:t>), page 1</w:t>
      </w:r>
    </w:p>
    <w:p w:rsidR="00F04B87" w:rsidRDefault="00F04B87" w:rsidP="00F04B87">
      <w:pPr>
        <w:pStyle w:val="Heading4"/>
      </w:pPr>
      <w:r>
        <w:t>Street wall heights</w:t>
      </w:r>
    </w:p>
    <w:p w:rsidR="00D43FF1" w:rsidRDefault="00F04B87" w:rsidP="00F04B87">
      <w:pPr>
        <w:pStyle w:val="PPVBody"/>
      </w:pPr>
      <w:r>
        <w:t>Street wall height restrictions are proposed to ensure appropriately scaled and distinct street wall effects, street enclosure, sky views, transition to heritage places and adequate sunlight access to streets and open space.  Proposed street wall heig</w:t>
      </w:r>
      <w:r w:rsidR="00F45F1E">
        <w:t>hts vary depending on location.</w:t>
      </w:r>
    </w:p>
    <w:p w:rsidR="00D43FF1" w:rsidRDefault="00D43FF1">
      <w:pPr>
        <w:spacing w:before="0"/>
        <w:jc w:val="left"/>
      </w:pPr>
      <w:r>
        <w:br w:type="page"/>
      </w:r>
    </w:p>
    <w:p w:rsidR="007A3E39" w:rsidRPr="007A3E39" w:rsidRDefault="00F45F1E" w:rsidP="007A3E39">
      <w:pPr>
        <w:pStyle w:val="Caption"/>
        <w:rPr>
          <w:rFonts w:asciiTheme="minorHAnsi" w:hAnsiTheme="minorHAnsi"/>
        </w:rPr>
      </w:pPr>
      <w:r>
        <w:rPr>
          <w:rFonts w:asciiTheme="minorHAnsi" w:hAnsiTheme="minorHAnsi"/>
        </w:rPr>
        <w:lastRenderedPageBreak/>
        <w:t>Table 3:</w:t>
      </w:r>
      <w:r w:rsidR="00A862F8">
        <w:rPr>
          <w:rFonts w:asciiTheme="minorHAnsi" w:hAnsiTheme="minorHAnsi"/>
        </w:rPr>
        <w:tab/>
        <w:t>Street wall height</w:t>
      </w:r>
    </w:p>
    <w:tbl>
      <w:tblPr>
        <w:tblStyle w:val="TableGrid"/>
        <w:tblW w:w="9356"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410"/>
        <w:gridCol w:w="2173"/>
        <w:gridCol w:w="2505"/>
        <w:gridCol w:w="2268"/>
      </w:tblGrid>
      <w:tr w:rsidR="007A3E39" w:rsidRPr="007A3E39" w:rsidTr="007A3E39">
        <w:trPr>
          <w:cantSplit/>
          <w:tblHeader/>
        </w:trPr>
        <w:tc>
          <w:tcPr>
            <w:tcW w:w="2410" w:type="dxa"/>
            <w:tcBorders>
              <w:top w:val="nil"/>
              <w:bottom w:val="dotted" w:sz="4" w:space="0" w:color="auto"/>
            </w:tcBorders>
            <w:shd w:val="clear" w:color="auto" w:fill="215868"/>
            <w:vAlign w:val="bottom"/>
          </w:tcPr>
          <w:p w:rsidR="007A3E39" w:rsidRPr="007A3E39" w:rsidRDefault="007A3E39" w:rsidP="00EC7CEB">
            <w:pPr>
              <w:pStyle w:val="PPVTableHeader"/>
              <w:jc w:val="left"/>
              <w:rPr>
                <w:rFonts w:asciiTheme="minorHAnsi" w:hAnsiTheme="minorHAnsi"/>
                <w:sz w:val="20"/>
                <w:szCs w:val="20"/>
              </w:rPr>
            </w:pPr>
            <w:r w:rsidRPr="007A3E39">
              <w:rPr>
                <w:rFonts w:asciiTheme="minorHAnsi" w:hAnsiTheme="minorHAnsi"/>
                <w:sz w:val="20"/>
                <w:szCs w:val="20"/>
              </w:rPr>
              <w:t>Location</w:t>
            </w:r>
          </w:p>
        </w:tc>
        <w:tc>
          <w:tcPr>
            <w:tcW w:w="2173" w:type="dxa"/>
            <w:tcBorders>
              <w:top w:val="nil"/>
              <w:bottom w:val="dotted" w:sz="4" w:space="0" w:color="auto"/>
            </w:tcBorders>
            <w:shd w:val="clear" w:color="auto" w:fill="215868"/>
            <w:vAlign w:val="bottom"/>
          </w:tcPr>
          <w:p w:rsidR="007A3E39" w:rsidRPr="007A3E39" w:rsidRDefault="007A3E39" w:rsidP="00EC7CEB">
            <w:pPr>
              <w:pStyle w:val="PPVTableHeader"/>
              <w:jc w:val="left"/>
              <w:rPr>
                <w:rFonts w:asciiTheme="minorHAnsi" w:eastAsia="Calibri" w:hAnsiTheme="minorHAnsi"/>
                <w:sz w:val="20"/>
                <w:szCs w:val="20"/>
              </w:rPr>
            </w:pPr>
            <w:r w:rsidRPr="007A3E39">
              <w:rPr>
                <w:rFonts w:asciiTheme="minorHAnsi" w:hAnsiTheme="minorHAnsi"/>
                <w:sz w:val="20"/>
                <w:szCs w:val="20"/>
              </w:rPr>
              <w:t>Qualification</w:t>
            </w:r>
          </w:p>
        </w:tc>
        <w:tc>
          <w:tcPr>
            <w:tcW w:w="2505" w:type="dxa"/>
            <w:tcBorders>
              <w:top w:val="nil"/>
              <w:bottom w:val="dotted" w:sz="4" w:space="0" w:color="auto"/>
            </w:tcBorders>
            <w:shd w:val="clear" w:color="auto" w:fill="215868"/>
            <w:vAlign w:val="bottom"/>
          </w:tcPr>
          <w:p w:rsidR="007A3E39" w:rsidRPr="007A3E39" w:rsidRDefault="007A3E39" w:rsidP="00EC7CEB">
            <w:pPr>
              <w:pStyle w:val="PPVTableHeader"/>
              <w:jc w:val="left"/>
              <w:rPr>
                <w:rFonts w:asciiTheme="minorHAnsi" w:hAnsiTheme="minorHAnsi"/>
                <w:sz w:val="20"/>
                <w:szCs w:val="20"/>
              </w:rPr>
            </w:pPr>
            <w:r w:rsidRPr="007A3E39">
              <w:rPr>
                <w:rFonts w:asciiTheme="minorHAnsi" w:eastAsia="Calibri" w:hAnsiTheme="minorHAnsi"/>
                <w:sz w:val="20"/>
                <w:szCs w:val="20"/>
              </w:rPr>
              <w:t>Preferred street wall height</w:t>
            </w:r>
          </w:p>
        </w:tc>
        <w:tc>
          <w:tcPr>
            <w:tcW w:w="2268" w:type="dxa"/>
            <w:tcBorders>
              <w:top w:val="nil"/>
              <w:bottom w:val="dotted" w:sz="4" w:space="0" w:color="auto"/>
            </w:tcBorders>
            <w:shd w:val="clear" w:color="auto" w:fill="215868"/>
            <w:vAlign w:val="bottom"/>
          </w:tcPr>
          <w:p w:rsidR="007A3E39" w:rsidRPr="007A3E39" w:rsidRDefault="007A3E39" w:rsidP="00EC7CEB">
            <w:pPr>
              <w:pStyle w:val="PPVTableHeader"/>
              <w:jc w:val="left"/>
              <w:rPr>
                <w:rFonts w:asciiTheme="minorHAnsi" w:hAnsiTheme="minorHAnsi"/>
                <w:sz w:val="20"/>
                <w:szCs w:val="20"/>
              </w:rPr>
            </w:pPr>
            <w:r w:rsidRPr="007A3E39">
              <w:rPr>
                <w:rFonts w:asciiTheme="minorHAnsi" w:eastAsia="Calibri" w:hAnsiTheme="minorHAnsi"/>
                <w:sz w:val="20"/>
                <w:szCs w:val="20"/>
              </w:rPr>
              <w:t>Maximum street wall height</w:t>
            </w:r>
          </w:p>
        </w:tc>
      </w:tr>
      <w:tr w:rsidR="007A3E39" w:rsidRPr="007A3E39" w:rsidTr="007A3E39">
        <w:trPr>
          <w:cantSplit/>
          <w:trHeight w:val="366"/>
        </w:trPr>
        <w:tc>
          <w:tcPr>
            <w:tcW w:w="2410" w:type="dxa"/>
            <w:tcBorders>
              <w:top w:val="dotted" w:sz="4" w:space="0" w:color="auto"/>
            </w:tcBorders>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on City Road</w:t>
            </w:r>
          </w:p>
        </w:tc>
        <w:tc>
          <w:tcPr>
            <w:tcW w:w="2173" w:type="dxa"/>
            <w:tcBorders>
              <w:top w:val="dotted" w:sz="4" w:space="0" w:color="auto"/>
            </w:tcBorders>
          </w:tcPr>
          <w:p w:rsidR="007A3E39" w:rsidRPr="007A3E39" w:rsidRDefault="007A3E39" w:rsidP="007A3E39">
            <w:pPr>
              <w:pStyle w:val="PPVTableText"/>
              <w:rPr>
                <w:rFonts w:asciiTheme="minorHAnsi" w:hAnsiTheme="minorHAnsi"/>
                <w:sz w:val="20"/>
                <w:szCs w:val="20"/>
              </w:rPr>
            </w:pPr>
          </w:p>
        </w:tc>
        <w:tc>
          <w:tcPr>
            <w:tcW w:w="2505" w:type="dxa"/>
            <w:vMerge w:val="restart"/>
            <w:tcBorders>
              <w:top w:val="dotted" w:sz="4" w:space="0" w:color="auto"/>
            </w:tcBorders>
            <w:vAlign w:val="center"/>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at least 4 storeys, except where a lower height is necessary to respond to adjoining heritage places</w:t>
            </w:r>
          </w:p>
        </w:tc>
        <w:tc>
          <w:tcPr>
            <w:tcW w:w="2268" w:type="dxa"/>
            <w:tcBorders>
              <w:top w:val="dotted" w:sz="4" w:space="0" w:color="auto"/>
            </w:tcBorders>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4 storeys</w:t>
            </w:r>
          </w:p>
        </w:tc>
      </w:tr>
      <w:tr w:rsidR="007A3E39" w:rsidRPr="007A3E39" w:rsidTr="007A3E39">
        <w:trPr>
          <w:cantSplit/>
          <w:trHeight w:val="366"/>
        </w:trPr>
        <w:tc>
          <w:tcPr>
            <w:tcW w:w="2410"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At 30-38 Thistlethwaite Street, Port Melbourne</w:t>
            </w:r>
          </w:p>
        </w:tc>
        <w:tc>
          <w:tcPr>
            <w:tcW w:w="2173" w:type="dxa"/>
          </w:tcPr>
          <w:p w:rsidR="007A3E39" w:rsidRPr="007A3E39" w:rsidRDefault="007A3E39" w:rsidP="007A3E39">
            <w:pPr>
              <w:pStyle w:val="PPVTableText"/>
              <w:rPr>
                <w:rFonts w:asciiTheme="minorHAnsi" w:hAnsiTheme="minorHAnsi"/>
                <w:sz w:val="20"/>
                <w:szCs w:val="20"/>
              </w:rPr>
            </w:pPr>
          </w:p>
        </w:tc>
        <w:tc>
          <w:tcPr>
            <w:tcW w:w="2505" w:type="dxa"/>
            <w:vMerge/>
          </w:tcPr>
          <w:p w:rsidR="007A3E39" w:rsidRPr="007A3E39" w:rsidRDefault="007A3E39" w:rsidP="007A3E39">
            <w:pPr>
              <w:pStyle w:val="PPVTableText"/>
              <w:rPr>
                <w:rFonts w:asciiTheme="minorHAnsi" w:hAnsiTheme="minorHAnsi"/>
                <w:sz w:val="20"/>
                <w:szCs w:val="20"/>
              </w:rPr>
            </w:pPr>
          </w:p>
        </w:tc>
        <w:tc>
          <w:tcPr>
            <w:tcW w:w="2268" w:type="dxa"/>
          </w:tcPr>
          <w:p w:rsidR="007A3E39" w:rsidRPr="007A3E39" w:rsidRDefault="007609B8" w:rsidP="007A3E39">
            <w:pPr>
              <w:pStyle w:val="PPVTableText"/>
              <w:rPr>
                <w:rFonts w:asciiTheme="minorHAnsi" w:hAnsiTheme="minorHAnsi"/>
                <w:sz w:val="20"/>
                <w:szCs w:val="20"/>
              </w:rPr>
            </w:pPr>
            <w:r>
              <w:rPr>
                <w:rFonts w:asciiTheme="minorHAnsi" w:hAnsiTheme="minorHAnsi"/>
                <w:sz w:val="20"/>
                <w:szCs w:val="20"/>
              </w:rPr>
              <w:t xml:space="preserve">6 storeys </w:t>
            </w:r>
          </w:p>
        </w:tc>
      </w:tr>
      <w:tr w:rsidR="007A3E39" w:rsidRPr="007A3E39" w:rsidTr="007A3E39">
        <w:trPr>
          <w:cantSplit/>
          <w:trHeight w:val="366"/>
        </w:trPr>
        <w:tc>
          <w:tcPr>
            <w:tcW w:w="2410"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Normanby Road or Buckhurst Street</w:t>
            </w:r>
          </w:p>
        </w:tc>
        <w:tc>
          <w:tcPr>
            <w:tcW w:w="2173" w:type="dxa"/>
          </w:tcPr>
          <w:p w:rsidR="007A3E39" w:rsidRPr="007A3E39" w:rsidRDefault="007A3E39" w:rsidP="007A3E39">
            <w:pPr>
              <w:pStyle w:val="PPVTableText"/>
              <w:rPr>
                <w:rFonts w:asciiTheme="minorHAnsi" w:hAnsiTheme="minorHAnsi"/>
                <w:sz w:val="20"/>
                <w:szCs w:val="20"/>
              </w:rPr>
            </w:pPr>
          </w:p>
        </w:tc>
        <w:tc>
          <w:tcPr>
            <w:tcW w:w="2505"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4 storeys</w:t>
            </w:r>
          </w:p>
        </w:tc>
        <w:tc>
          <w:tcPr>
            <w:tcW w:w="2268"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General provisions apply</w:t>
            </w:r>
          </w:p>
        </w:tc>
      </w:tr>
      <w:tr w:rsidR="007A3E39" w:rsidRPr="007A3E39" w:rsidTr="007A3E39">
        <w:trPr>
          <w:cantSplit/>
          <w:trHeight w:val="366"/>
        </w:trPr>
        <w:tc>
          <w:tcPr>
            <w:tcW w:w="2410"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Laneways (street ≤9 m)</w:t>
            </w:r>
          </w:p>
        </w:tc>
        <w:tc>
          <w:tcPr>
            <w:tcW w:w="2173" w:type="dxa"/>
          </w:tcPr>
          <w:p w:rsidR="007A3E39" w:rsidRPr="007A3E39" w:rsidRDefault="007A3E39" w:rsidP="007A3E39">
            <w:pPr>
              <w:pStyle w:val="PPVTableText"/>
              <w:rPr>
                <w:rFonts w:asciiTheme="minorHAnsi" w:hAnsiTheme="minorHAnsi"/>
                <w:sz w:val="20"/>
                <w:szCs w:val="20"/>
              </w:rPr>
            </w:pPr>
          </w:p>
        </w:tc>
        <w:tc>
          <w:tcPr>
            <w:tcW w:w="2505"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4 storeys</w:t>
            </w:r>
          </w:p>
        </w:tc>
        <w:tc>
          <w:tcPr>
            <w:tcW w:w="2268"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 xml:space="preserve">6 storeys </w:t>
            </w:r>
          </w:p>
        </w:tc>
      </w:tr>
      <w:tr w:rsidR="007A3E39" w:rsidRPr="007A3E39" w:rsidTr="007A3E39">
        <w:trPr>
          <w:cantSplit/>
        </w:trPr>
        <w:tc>
          <w:tcPr>
            <w:tcW w:w="2410"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On a street &gt;9m and ≤22m wide</w:t>
            </w:r>
          </w:p>
        </w:tc>
        <w:tc>
          <w:tcPr>
            <w:tcW w:w="2173" w:type="dxa"/>
          </w:tcPr>
          <w:p w:rsidR="007A3E39" w:rsidRPr="007A3E39" w:rsidRDefault="007A3E39" w:rsidP="007A3E39">
            <w:pPr>
              <w:pStyle w:val="PPVTableText"/>
              <w:rPr>
                <w:rFonts w:asciiTheme="minorHAnsi" w:hAnsiTheme="minorHAnsi"/>
                <w:sz w:val="20"/>
                <w:szCs w:val="20"/>
              </w:rPr>
            </w:pPr>
          </w:p>
        </w:tc>
        <w:tc>
          <w:tcPr>
            <w:tcW w:w="2505" w:type="dxa"/>
            <w:vMerge w:val="restart"/>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at least 4 storeys in height, except where a lower height is necessary to respond to adjoining heritage places</w:t>
            </w:r>
          </w:p>
        </w:tc>
        <w:tc>
          <w:tcPr>
            <w:tcW w:w="2268" w:type="dxa"/>
          </w:tcPr>
          <w:p w:rsidR="007A3E39" w:rsidRPr="007A3E39" w:rsidRDefault="007609B8" w:rsidP="007A3E39">
            <w:pPr>
              <w:pStyle w:val="PPVTableText"/>
              <w:rPr>
                <w:rFonts w:asciiTheme="minorHAnsi" w:hAnsiTheme="minorHAnsi"/>
                <w:sz w:val="20"/>
                <w:szCs w:val="20"/>
              </w:rPr>
            </w:pPr>
            <w:r>
              <w:rPr>
                <w:rFonts w:asciiTheme="minorHAnsi" w:hAnsiTheme="minorHAnsi"/>
                <w:sz w:val="20"/>
                <w:szCs w:val="20"/>
              </w:rPr>
              <w:t xml:space="preserve">6 storeys </w:t>
            </w:r>
          </w:p>
        </w:tc>
      </w:tr>
      <w:tr w:rsidR="007A3E39" w:rsidRPr="007A3E39" w:rsidTr="007A3E39">
        <w:trPr>
          <w:cantSplit/>
        </w:trPr>
        <w:tc>
          <w:tcPr>
            <w:tcW w:w="2410" w:type="dxa"/>
            <w:vMerge w:val="restart"/>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On a street &gt;22m wide</w:t>
            </w:r>
          </w:p>
        </w:tc>
        <w:tc>
          <w:tcPr>
            <w:tcW w:w="2173"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where the building height is ≤10 storeys</w:t>
            </w:r>
          </w:p>
        </w:tc>
        <w:tc>
          <w:tcPr>
            <w:tcW w:w="2505" w:type="dxa"/>
            <w:vMerge/>
          </w:tcPr>
          <w:p w:rsidR="007A3E39" w:rsidRPr="007A3E39" w:rsidRDefault="007A3E39" w:rsidP="007A3E39">
            <w:pPr>
              <w:pStyle w:val="PPVTableText"/>
              <w:rPr>
                <w:rFonts w:asciiTheme="minorHAnsi" w:hAnsiTheme="minorHAnsi"/>
                <w:sz w:val="20"/>
                <w:szCs w:val="20"/>
              </w:rPr>
            </w:pPr>
          </w:p>
        </w:tc>
        <w:tc>
          <w:tcPr>
            <w:tcW w:w="2268"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8 storeys</w:t>
            </w:r>
          </w:p>
        </w:tc>
      </w:tr>
      <w:tr w:rsidR="007A3E39" w:rsidRPr="007A3E39" w:rsidTr="007A3E39">
        <w:trPr>
          <w:cantSplit/>
        </w:trPr>
        <w:tc>
          <w:tcPr>
            <w:tcW w:w="2410" w:type="dxa"/>
            <w:vMerge/>
          </w:tcPr>
          <w:p w:rsidR="007A3E39" w:rsidRPr="007A3E39" w:rsidRDefault="007A3E39" w:rsidP="007A3E39">
            <w:pPr>
              <w:pStyle w:val="PPVTableTextBullet"/>
              <w:rPr>
                <w:rFonts w:asciiTheme="minorHAnsi" w:hAnsiTheme="minorHAnsi"/>
                <w:sz w:val="20"/>
                <w:szCs w:val="20"/>
              </w:rPr>
            </w:pPr>
          </w:p>
        </w:tc>
        <w:tc>
          <w:tcPr>
            <w:tcW w:w="2173"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where the building height is &gt;10 storeys</w:t>
            </w:r>
          </w:p>
        </w:tc>
        <w:tc>
          <w:tcPr>
            <w:tcW w:w="2505" w:type="dxa"/>
            <w:vMerge/>
          </w:tcPr>
          <w:p w:rsidR="007A3E39" w:rsidRPr="007A3E39" w:rsidRDefault="007A3E39" w:rsidP="007A3E39">
            <w:pPr>
              <w:pStyle w:val="PPVTableText"/>
              <w:rPr>
                <w:rFonts w:asciiTheme="minorHAnsi" w:hAnsiTheme="minorHAnsi"/>
                <w:sz w:val="20"/>
                <w:szCs w:val="20"/>
              </w:rPr>
            </w:pPr>
          </w:p>
        </w:tc>
        <w:tc>
          <w:tcPr>
            <w:tcW w:w="2268"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6 storeys</w:t>
            </w:r>
            <w:r w:rsidR="007609B8">
              <w:rPr>
                <w:rFonts w:asciiTheme="minorHAnsi" w:hAnsiTheme="minorHAnsi"/>
                <w:sz w:val="20"/>
                <w:szCs w:val="20"/>
              </w:rPr>
              <w:t xml:space="preserve"> </w:t>
            </w:r>
          </w:p>
        </w:tc>
      </w:tr>
    </w:tbl>
    <w:p w:rsidR="007A3E39" w:rsidRDefault="00F04B87" w:rsidP="00F04B87">
      <w:pPr>
        <w:pStyle w:val="Heading4"/>
      </w:pPr>
      <w:r>
        <w:t>Setbacks above street walls</w:t>
      </w:r>
    </w:p>
    <w:p w:rsidR="00F04B87" w:rsidRDefault="00F04B87" w:rsidP="00F04B87">
      <w:pPr>
        <w:pStyle w:val="PPVBody"/>
      </w:pPr>
      <w:r>
        <w:t xml:space="preserve">There are a number of </w:t>
      </w:r>
      <w:r w:rsidR="00487A43">
        <w:t xml:space="preserve">requirements for </w:t>
      </w:r>
      <w:r>
        <w:t>setback</w:t>
      </w:r>
      <w:r w:rsidR="00F73890">
        <w:t>s</w:t>
      </w:r>
      <w:r>
        <w:t xml:space="preserve"> above the street wall which are proposed to ensure comfortable wind conditions, adequate sunlight access to streets and laneways, sky views and minimise visual bulk.  Setbacks above the street wall vary depending </w:t>
      </w:r>
      <w:r w:rsidR="00152469">
        <w:t xml:space="preserve">on </w:t>
      </w:r>
      <w:r>
        <w:t>building height and location.</w:t>
      </w:r>
    </w:p>
    <w:p w:rsidR="007A3E39" w:rsidRPr="007A3E39" w:rsidRDefault="007A3E39" w:rsidP="007A3E39">
      <w:pPr>
        <w:pStyle w:val="Caption"/>
        <w:rPr>
          <w:rFonts w:asciiTheme="minorHAnsi" w:hAnsiTheme="minorHAnsi"/>
        </w:rPr>
      </w:pPr>
      <w:r w:rsidRPr="007A3E39">
        <w:rPr>
          <w:rFonts w:asciiTheme="minorHAnsi" w:hAnsiTheme="minorHAnsi"/>
        </w:rPr>
        <w:t xml:space="preserve">Table 4: </w:t>
      </w:r>
      <w:r w:rsidR="00A862F8">
        <w:rPr>
          <w:rFonts w:asciiTheme="minorHAnsi" w:hAnsiTheme="minorHAnsi"/>
        </w:rPr>
        <w:tab/>
        <w:t>Setbacks above the street wall</w:t>
      </w:r>
    </w:p>
    <w:tbl>
      <w:tblPr>
        <w:tblStyle w:val="TableGrid"/>
        <w:tblW w:w="9356"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410"/>
        <w:gridCol w:w="2268"/>
        <w:gridCol w:w="2552"/>
        <w:gridCol w:w="2126"/>
      </w:tblGrid>
      <w:tr w:rsidR="007A3E39" w:rsidRPr="007A3E39" w:rsidTr="007A3E39">
        <w:trPr>
          <w:cantSplit/>
          <w:tblHeader/>
        </w:trPr>
        <w:tc>
          <w:tcPr>
            <w:tcW w:w="2410" w:type="dxa"/>
            <w:tcBorders>
              <w:top w:val="nil"/>
              <w:bottom w:val="dotted" w:sz="4" w:space="0" w:color="auto"/>
            </w:tcBorders>
            <w:shd w:val="clear" w:color="auto" w:fill="215868"/>
            <w:vAlign w:val="bottom"/>
          </w:tcPr>
          <w:p w:rsidR="007A3E39" w:rsidRPr="007A3E39" w:rsidRDefault="007A3E39" w:rsidP="007A3E39">
            <w:pPr>
              <w:pStyle w:val="PPVTableHeader"/>
              <w:rPr>
                <w:rFonts w:asciiTheme="minorHAnsi" w:hAnsiTheme="minorHAnsi"/>
                <w:sz w:val="20"/>
                <w:szCs w:val="20"/>
              </w:rPr>
            </w:pPr>
            <w:r w:rsidRPr="007A3E39">
              <w:rPr>
                <w:rFonts w:asciiTheme="minorHAnsi" w:hAnsiTheme="minorHAnsi"/>
                <w:sz w:val="20"/>
                <w:szCs w:val="20"/>
              </w:rPr>
              <w:t>Location</w:t>
            </w:r>
          </w:p>
        </w:tc>
        <w:tc>
          <w:tcPr>
            <w:tcW w:w="2268" w:type="dxa"/>
            <w:tcBorders>
              <w:top w:val="nil"/>
              <w:bottom w:val="dotted" w:sz="4" w:space="0" w:color="auto"/>
            </w:tcBorders>
            <w:shd w:val="clear" w:color="auto" w:fill="215868"/>
            <w:vAlign w:val="bottom"/>
          </w:tcPr>
          <w:p w:rsidR="007A3E39" w:rsidRPr="007A3E39" w:rsidRDefault="007A3E39" w:rsidP="007A3E39">
            <w:pPr>
              <w:pStyle w:val="PPVTableHeader"/>
              <w:rPr>
                <w:rFonts w:asciiTheme="minorHAnsi" w:hAnsiTheme="minorHAnsi"/>
                <w:sz w:val="20"/>
                <w:szCs w:val="20"/>
              </w:rPr>
            </w:pPr>
            <w:r w:rsidRPr="007A3E39">
              <w:rPr>
                <w:rFonts w:asciiTheme="minorHAnsi" w:hAnsiTheme="minorHAnsi"/>
                <w:sz w:val="20"/>
                <w:szCs w:val="20"/>
              </w:rPr>
              <w:t>Qualification</w:t>
            </w:r>
          </w:p>
        </w:tc>
        <w:tc>
          <w:tcPr>
            <w:tcW w:w="2552" w:type="dxa"/>
            <w:tcBorders>
              <w:top w:val="nil"/>
              <w:bottom w:val="dotted" w:sz="4" w:space="0" w:color="auto"/>
            </w:tcBorders>
            <w:shd w:val="clear" w:color="auto" w:fill="215868"/>
            <w:vAlign w:val="bottom"/>
          </w:tcPr>
          <w:p w:rsidR="007A3E39" w:rsidRPr="007A3E39" w:rsidRDefault="007A3E39" w:rsidP="007A3E39">
            <w:pPr>
              <w:pStyle w:val="PPVTableHeader"/>
              <w:rPr>
                <w:rFonts w:asciiTheme="minorHAnsi" w:hAnsiTheme="minorHAnsi"/>
                <w:sz w:val="20"/>
                <w:szCs w:val="20"/>
              </w:rPr>
            </w:pPr>
            <w:r w:rsidRPr="007A3E39">
              <w:rPr>
                <w:rFonts w:asciiTheme="minorHAnsi" w:eastAsia="Calibri" w:hAnsiTheme="minorHAnsi"/>
                <w:sz w:val="20"/>
                <w:szCs w:val="20"/>
              </w:rPr>
              <w:t>Preferred Setback</w:t>
            </w:r>
          </w:p>
        </w:tc>
        <w:tc>
          <w:tcPr>
            <w:tcW w:w="2126" w:type="dxa"/>
            <w:tcBorders>
              <w:top w:val="nil"/>
              <w:bottom w:val="dotted" w:sz="4" w:space="0" w:color="auto"/>
            </w:tcBorders>
            <w:shd w:val="clear" w:color="auto" w:fill="215868"/>
            <w:vAlign w:val="bottom"/>
          </w:tcPr>
          <w:p w:rsidR="007A3E39" w:rsidRPr="007A3E39" w:rsidRDefault="007A3E39" w:rsidP="007A3E39">
            <w:pPr>
              <w:pStyle w:val="PPVTableHeader"/>
              <w:rPr>
                <w:rFonts w:asciiTheme="minorHAnsi" w:hAnsiTheme="minorHAnsi"/>
                <w:sz w:val="20"/>
                <w:szCs w:val="20"/>
              </w:rPr>
            </w:pPr>
            <w:r w:rsidRPr="007A3E39">
              <w:rPr>
                <w:rFonts w:asciiTheme="minorHAnsi" w:eastAsia="Calibri" w:hAnsiTheme="minorHAnsi"/>
                <w:sz w:val="20"/>
                <w:szCs w:val="20"/>
              </w:rPr>
              <w:t>Minimum Setback</w:t>
            </w:r>
          </w:p>
        </w:tc>
      </w:tr>
      <w:tr w:rsidR="007A3E39" w:rsidRPr="007A3E39" w:rsidTr="007A3E39">
        <w:trPr>
          <w:cantSplit/>
        </w:trPr>
        <w:tc>
          <w:tcPr>
            <w:tcW w:w="2410" w:type="dxa"/>
            <w:vMerge w:val="restart"/>
            <w:tcBorders>
              <w:top w:val="dotted" w:sz="4" w:space="0" w:color="auto"/>
            </w:tcBorders>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where the building has direct interface with:</w:t>
            </w:r>
          </w:p>
          <w:p w:rsidR="007A3E39" w:rsidRPr="007A3E39" w:rsidRDefault="00880E6C" w:rsidP="007A3E39">
            <w:pPr>
              <w:pStyle w:val="PPVTableTextBullet"/>
              <w:rPr>
                <w:rFonts w:asciiTheme="minorHAnsi" w:hAnsiTheme="minorHAnsi"/>
                <w:sz w:val="20"/>
                <w:szCs w:val="20"/>
              </w:rPr>
            </w:pPr>
            <w:r>
              <w:rPr>
                <w:rFonts w:asciiTheme="minorHAnsi" w:hAnsiTheme="minorHAnsi"/>
                <w:sz w:val="20"/>
                <w:szCs w:val="20"/>
              </w:rPr>
              <w:t>West G</w:t>
            </w:r>
            <w:r w:rsidR="007A3E39" w:rsidRPr="007A3E39">
              <w:rPr>
                <w:rFonts w:asciiTheme="minorHAnsi" w:hAnsiTheme="minorHAnsi"/>
                <w:sz w:val="20"/>
                <w:szCs w:val="20"/>
              </w:rPr>
              <w:t>ate Freeway;</w:t>
            </w:r>
          </w:p>
          <w:p w:rsidR="007A3E39" w:rsidRPr="007A3E39" w:rsidRDefault="00880E6C" w:rsidP="007A3E39">
            <w:pPr>
              <w:pStyle w:val="PPVTableTextBullet"/>
              <w:rPr>
                <w:rFonts w:asciiTheme="minorHAnsi" w:hAnsiTheme="minorHAnsi"/>
                <w:sz w:val="20"/>
                <w:szCs w:val="20"/>
              </w:rPr>
            </w:pPr>
            <w:r>
              <w:rPr>
                <w:rFonts w:asciiTheme="minorHAnsi" w:hAnsiTheme="minorHAnsi"/>
                <w:sz w:val="20"/>
                <w:szCs w:val="20"/>
              </w:rPr>
              <w:t>City</w:t>
            </w:r>
            <w:r w:rsidR="007A3E39" w:rsidRPr="007A3E39">
              <w:rPr>
                <w:rFonts w:asciiTheme="minorHAnsi" w:hAnsiTheme="minorHAnsi"/>
                <w:sz w:val="20"/>
                <w:szCs w:val="20"/>
              </w:rPr>
              <w:t>Link overpass;</w:t>
            </w:r>
          </w:p>
          <w:p w:rsidR="007A3E39" w:rsidRPr="007A3E39" w:rsidRDefault="007A3E39" w:rsidP="00880E6C">
            <w:pPr>
              <w:pStyle w:val="PPVTableTextBullet"/>
              <w:rPr>
                <w:rFonts w:asciiTheme="minorHAnsi" w:hAnsiTheme="minorHAnsi"/>
                <w:sz w:val="20"/>
                <w:szCs w:val="20"/>
              </w:rPr>
            </w:pPr>
            <w:r w:rsidRPr="007A3E39">
              <w:rPr>
                <w:rFonts w:asciiTheme="minorHAnsi" w:hAnsiTheme="minorHAnsi"/>
                <w:sz w:val="20"/>
                <w:szCs w:val="20"/>
              </w:rPr>
              <w:t>Route 96 tram corridor, Route 109 tram corridor.</w:t>
            </w:r>
          </w:p>
        </w:tc>
        <w:tc>
          <w:tcPr>
            <w:tcW w:w="2268" w:type="dxa"/>
            <w:tcBorders>
              <w:top w:val="dotted" w:sz="4" w:space="0" w:color="auto"/>
            </w:tcBorders>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if the building height is ≤ 8 storeys</w:t>
            </w:r>
          </w:p>
        </w:tc>
        <w:tc>
          <w:tcPr>
            <w:tcW w:w="2552" w:type="dxa"/>
            <w:tcBorders>
              <w:top w:val="dotted" w:sz="4" w:space="0" w:color="auto"/>
            </w:tcBorders>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5</w:t>
            </w:r>
            <w:r w:rsidR="007609B8">
              <w:rPr>
                <w:rFonts w:asciiTheme="minorHAnsi" w:hAnsiTheme="minorHAnsi"/>
                <w:sz w:val="20"/>
                <w:szCs w:val="20"/>
              </w:rPr>
              <w:t xml:space="preserve"> metres </w:t>
            </w:r>
          </w:p>
        </w:tc>
        <w:tc>
          <w:tcPr>
            <w:tcW w:w="2126" w:type="dxa"/>
            <w:tcBorders>
              <w:top w:val="dotted" w:sz="4" w:space="0" w:color="auto"/>
            </w:tcBorders>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3</w:t>
            </w:r>
            <w:r w:rsidR="007609B8">
              <w:rPr>
                <w:rFonts w:asciiTheme="minorHAnsi" w:hAnsiTheme="minorHAnsi"/>
                <w:sz w:val="20"/>
                <w:szCs w:val="20"/>
              </w:rPr>
              <w:t xml:space="preserve"> metres </w:t>
            </w:r>
          </w:p>
        </w:tc>
      </w:tr>
      <w:tr w:rsidR="007A3E39" w:rsidRPr="007A3E39" w:rsidTr="007A3E39">
        <w:trPr>
          <w:cantSplit/>
        </w:trPr>
        <w:tc>
          <w:tcPr>
            <w:tcW w:w="2410" w:type="dxa"/>
            <w:vMerge/>
          </w:tcPr>
          <w:p w:rsidR="007A3E39" w:rsidRPr="007A3E39" w:rsidRDefault="007A3E39" w:rsidP="007A3E39">
            <w:pPr>
              <w:pStyle w:val="PPVTableTextBullet"/>
              <w:rPr>
                <w:rFonts w:asciiTheme="minorHAnsi" w:hAnsiTheme="minorHAnsi"/>
                <w:sz w:val="20"/>
                <w:szCs w:val="20"/>
              </w:rPr>
            </w:pPr>
          </w:p>
        </w:tc>
        <w:tc>
          <w:tcPr>
            <w:tcW w:w="2268"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if the building height is &gt; 8 storeys</w:t>
            </w:r>
          </w:p>
        </w:tc>
        <w:tc>
          <w:tcPr>
            <w:tcW w:w="2552" w:type="dxa"/>
          </w:tcPr>
          <w:p w:rsidR="007A3E39" w:rsidRPr="007A3E39" w:rsidRDefault="00F04B87" w:rsidP="007A3E39">
            <w:pPr>
              <w:pStyle w:val="PPVTableText"/>
              <w:rPr>
                <w:rFonts w:asciiTheme="minorHAnsi" w:hAnsiTheme="minorHAnsi"/>
                <w:sz w:val="20"/>
                <w:szCs w:val="20"/>
              </w:rPr>
            </w:pPr>
            <w:r>
              <w:rPr>
                <w:rFonts w:asciiTheme="minorHAnsi" w:hAnsiTheme="minorHAnsi"/>
                <w:sz w:val="20"/>
                <w:szCs w:val="20"/>
              </w:rPr>
              <w:t xml:space="preserve">10 metres </w:t>
            </w:r>
          </w:p>
        </w:tc>
        <w:tc>
          <w:tcPr>
            <w:tcW w:w="2126"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5</w:t>
            </w:r>
            <w:r w:rsidR="00F04B87">
              <w:rPr>
                <w:rFonts w:asciiTheme="minorHAnsi" w:hAnsiTheme="minorHAnsi"/>
                <w:sz w:val="20"/>
                <w:szCs w:val="20"/>
              </w:rPr>
              <w:t xml:space="preserve"> metres </w:t>
            </w:r>
          </w:p>
        </w:tc>
      </w:tr>
      <w:tr w:rsidR="007A3E39" w:rsidRPr="007A3E39" w:rsidTr="007A3E39">
        <w:trPr>
          <w:cantSplit/>
        </w:trPr>
        <w:tc>
          <w:tcPr>
            <w:tcW w:w="2410"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on City Road.</w:t>
            </w:r>
          </w:p>
        </w:tc>
        <w:tc>
          <w:tcPr>
            <w:tcW w:w="2268" w:type="dxa"/>
          </w:tcPr>
          <w:p w:rsidR="007A3E39" w:rsidRPr="007A3E39" w:rsidRDefault="007A3E39" w:rsidP="007A3E39">
            <w:pPr>
              <w:pStyle w:val="PPVTableText"/>
              <w:rPr>
                <w:rFonts w:asciiTheme="minorHAnsi" w:hAnsiTheme="minorHAnsi"/>
                <w:sz w:val="20"/>
                <w:szCs w:val="20"/>
              </w:rPr>
            </w:pPr>
          </w:p>
        </w:tc>
        <w:tc>
          <w:tcPr>
            <w:tcW w:w="2552"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None specified</w:t>
            </w:r>
          </w:p>
        </w:tc>
        <w:tc>
          <w:tcPr>
            <w:tcW w:w="2126"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10</w:t>
            </w:r>
            <w:r w:rsidR="00F04B87">
              <w:rPr>
                <w:rFonts w:asciiTheme="minorHAnsi" w:hAnsiTheme="minorHAnsi"/>
                <w:sz w:val="20"/>
                <w:szCs w:val="20"/>
              </w:rPr>
              <w:t xml:space="preserve"> metres </w:t>
            </w:r>
          </w:p>
        </w:tc>
      </w:tr>
      <w:tr w:rsidR="007A3E39" w:rsidRPr="007A3E39" w:rsidTr="007A3E39">
        <w:trPr>
          <w:cantSplit/>
        </w:trPr>
        <w:tc>
          <w:tcPr>
            <w:tcW w:w="2410"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 xml:space="preserve">If the building fronts City Road </w:t>
            </w:r>
          </w:p>
        </w:tc>
        <w:tc>
          <w:tcPr>
            <w:tcW w:w="2268" w:type="dxa"/>
          </w:tcPr>
          <w:p w:rsidR="007A3E39" w:rsidRPr="007A3E39" w:rsidRDefault="007A3E39" w:rsidP="007A3E39">
            <w:pPr>
              <w:pStyle w:val="PPVTableText"/>
              <w:rPr>
                <w:rFonts w:asciiTheme="minorHAnsi" w:hAnsiTheme="minorHAnsi"/>
                <w:sz w:val="20"/>
                <w:szCs w:val="20"/>
              </w:rPr>
            </w:pPr>
          </w:p>
        </w:tc>
        <w:tc>
          <w:tcPr>
            <w:tcW w:w="2552"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As specified for other locations</w:t>
            </w:r>
          </w:p>
        </w:tc>
        <w:tc>
          <w:tcPr>
            <w:tcW w:w="2126"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10</w:t>
            </w:r>
            <w:r w:rsidR="00F04B87">
              <w:rPr>
                <w:rFonts w:asciiTheme="minorHAnsi" w:hAnsiTheme="minorHAnsi"/>
                <w:sz w:val="20"/>
                <w:szCs w:val="20"/>
              </w:rPr>
              <w:t xml:space="preserve"> metres </w:t>
            </w:r>
          </w:p>
        </w:tc>
      </w:tr>
      <w:tr w:rsidR="007A3E39" w:rsidRPr="007A3E39" w:rsidTr="007A3E39">
        <w:trPr>
          <w:cantSplit/>
        </w:trPr>
        <w:tc>
          <w:tcPr>
            <w:tcW w:w="2410" w:type="dxa"/>
            <w:vMerge w:val="restart"/>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Other locations</w:t>
            </w:r>
          </w:p>
        </w:tc>
        <w:tc>
          <w:tcPr>
            <w:tcW w:w="2268"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if the building height is ≤ 8 storeys</w:t>
            </w:r>
          </w:p>
        </w:tc>
        <w:tc>
          <w:tcPr>
            <w:tcW w:w="2552"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5</w:t>
            </w:r>
            <w:r w:rsidR="00F04B87">
              <w:rPr>
                <w:rFonts w:asciiTheme="minorHAnsi" w:hAnsiTheme="minorHAnsi"/>
                <w:sz w:val="20"/>
                <w:szCs w:val="20"/>
              </w:rPr>
              <w:t xml:space="preserve"> metres </w:t>
            </w:r>
          </w:p>
        </w:tc>
        <w:tc>
          <w:tcPr>
            <w:tcW w:w="2126"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3</w:t>
            </w:r>
            <w:r w:rsidR="00F04B87">
              <w:rPr>
                <w:rFonts w:asciiTheme="minorHAnsi" w:hAnsiTheme="minorHAnsi"/>
                <w:sz w:val="20"/>
                <w:szCs w:val="20"/>
              </w:rPr>
              <w:t xml:space="preserve"> metres </w:t>
            </w:r>
          </w:p>
        </w:tc>
      </w:tr>
      <w:tr w:rsidR="007A3E39" w:rsidRPr="007A3E39" w:rsidTr="007A3E39">
        <w:trPr>
          <w:cantSplit/>
        </w:trPr>
        <w:tc>
          <w:tcPr>
            <w:tcW w:w="2410" w:type="dxa"/>
            <w:vMerge/>
          </w:tcPr>
          <w:p w:rsidR="007A3E39" w:rsidRPr="007A3E39" w:rsidRDefault="007A3E39" w:rsidP="007A3E39">
            <w:pPr>
              <w:pStyle w:val="PPVTableText"/>
              <w:rPr>
                <w:rFonts w:asciiTheme="minorHAnsi" w:hAnsiTheme="minorHAnsi"/>
                <w:sz w:val="20"/>
                <w:szCs w:val="20"/>
                <w:highlight w:val="yellow"/>
              </w:rPr>
            </w:pPr>
          </w:p>
        </w:tc>
        <w:tc>
          <w:tcPr>
            <w:tcW w:w="2268" w:type="dxa"/>
          </w:tcPr>
          <w:p w:rsidR="007A3E39" w:rsidRPr="007A3E39" w:rsidRDefault="007A3E39" w:rsidP="007A3E39">
            <w:pPr>
              <w:pStyle w:val="PPVTableText"/>
              <w:rPr>
                <w:rFonts w:asciiTheme="minorHAnsi" w:hAnsiTheme="minorHAnsi"/>
                <w:sz w:val="20"/>
                <w:szCs w:val="20"/>
                <w:highlight w:val="yellow"/>
              </w:rPr>
            </w:pPr>
            <w:r w:rsidRPr="007A3E39">
              <w:rPr>
                <w:rFonts w:asciiTheme="minorHAnsi" w:hAnsiTheme="minorHAnsi"/>
                <w:sz w:val="20"/>
                <w:szCs w:val="20"/>
              </w:rPr>
              <w:t>if the building height is &gt; 8 storeys and ≤ 20 storeys</w:t>
            </w:r>
          </w:p>
        </w:tc>
        <w:tc>
          <w:tcPr>
            <w:tcW w:w="2552"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10</w:t>
            </w:r>
            <w:r w:rsidR="00F04B87">
              <w:rPr>
                <w:rFonts w:asciiTheme="minorHAnsi" w:hAnsiTheme="minorHAnsi"/>
                <w:sz w:val="20"/>
                <w:szCs w:val="20"/>
              </w:rPr>
              <w:t xml:space="preserve"> metres </w:t>
            </w:r>
          </w:p>
        </w:tc>
        <w:tc>
          <w:tcPr>
            <w:tcW w:w="2126" w:type="dxa"/>
          </w:tcPr>
          <w:p w:rsidR="007A3E39" w:rsidRPr="007A3E39" w:rsidRDefault="007A3E39" w:rsidP="007A3E39">
            <w:pPr>
              <w:pStyle w:val="PPVTableText"/>
              <w:rPr>
                <w:rFonts w:asciiTheme="minorHAnsi" w:hAnsiTheme="minorHAnsi"/>
                <w:sz w:val="20"/>
                <w:szCs w:val="20"/>
                <w:highlight w:val="yellow"/>
              </w:rPr>
            </w:pPr>
            <w:r w:rsidRPr="007A3E39">
              <w:rPr>
                <w:rFonts w:asciiTheme="minorHAnsi" w:hAnsiTheme="minorHAnsi"/>
                <w:sz w:val="20"/>
                <w:szCs w:val="20"/>
              </w:rPr>
              <w:t>5</w:t>
            </w:r>
            <w:r w:rsidR="00F04B87">
              <w:rPr>
                <w:rFonts w:asciiTheme="minorHAnsi" w:hAnsiTheme="minorHAnsi"/>
                <w:sz w:val="20"/>
                <w:szCs w:val="20"/>
              </w:rPr>
              <w:t xml:space="preserve"> metres </w:t>
            </w:r>
          </w:p>
        </w:tc>
      </w:tr>
      <w:tr w:rsidR="007A3E39" w:rsidRPr="007A3E39" w:rsidTr="007A3E39">
        <w:trPr>
          <w:cantSplit/>
        </w:trPr>
        <w:tc>
          <w:tcPr>
            <w:tcW w:w="2410" w:type="dxa"/>
            <w:vMerge/>
          </w:tcPr>
          <w:p w:rsidR="007A3E39" w:rsidRPr="007A3E39" w:rsidRDefault="007A3E39" w:rsidP="007A3E39">
            <w:pPr>
              <w:pStyle w:val="PPVTableText"/>
              <w:rPr>
                <w:rFonts w:asciiTheme="minorHAnsi" w:hAnsiTheme="minorHAnsi"/>
                <w:sz w:val="20"/>
                <w:szCs w:val="20"/>
                <w:highlight w:val="yellow"/>
              </w:rPr>
            </w:pPr>
          </w:p>
        </w:tc>
        <w:tc>
          <w:tcPr>
            <w:tcW w:w="2268" w:type="dxa"/>
          </w:tcPr>
          <w:p w:rsidR="007A3E39" w:rsidRPr="007A3E39" w:rsidRDefault="007A3E39" w:rsidP="007A3E39">
            <w:pPr>
              <w:pStyle w:val="PPVTableText"/>
              <w:rPr>
                <w:rFonts w:asciiTheme="minorHAnsi" w:hAnsiTheme="minorHAnsi"/>
                <w:sz w:val="20"/>
                <w:szCs w:val="20"/>
                <w:highlight w:val="yellow"/>
              </w:rPr>
            </w:pPr>
            <w:r w:rsidRPr="007A3E39">
              <w:rPr>
                <w:rFonts w:asciiTheme="minorHAnsi" w:hAnsiTheme="minorHAnsi"/>
                <w:sz w:val="20"/>
                <w:szCs w:val="20"/>
              </w:rPr>
              <w:t>if the overall building height is &gt; 20 storeys</w:t>
            </w:r>
          </w:p>
        </w:tc>
        <w:tc>
          <w:tcPr>
            <w:tcW w:w="2552"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10</w:t>
            </w:r>
            <w:r w:rsidR="00F04B87">
              <w:rPr>
                <w:rFonts w:asciiTheme="minorHAnsi" w:hAnsiTheme="minorHAnsi"/>
                <w:sz w:val="20"/>
                <w:szCs w:val="20"/>
              </w:rPr>
              <w:t xml:space="preserve"> metres </w:t>
            </w:r>
          </w:p>
        </w:tc>
        <w:tc>
          <w:tcPr>
            <w:tcW w:w="2126" w:type="dxa"/>
          </w:tcPr>
          <w:p w:rsidR="007A3E39" w:rsidRPr="007A3E39" w:rsidRDefault="007A3E39" w:rsidP="007A3E39">
            <w:pPr>
              <w:pStyle w:val="PPVTableText"/>
              <w:rPr>
                <w:rFonts w:asciiTheme="minorHAnsi" w:hAnsiTheme="minorHAnsi"/>
                <w:sz w:val="20"/>
                <w:szCs w:val="20"/>
                <w:highlight w:val="yellow"/>
              </w:rPr>
            </w:pPr>
            <w:r w:rsidRPr="007A3E39">
              <w:rPr>
                <w:rFonts w:asciiTheme="minorHAnsi" w:hAnsiTheme="minorHAnsi"/>
                <w:sz w:val="20"/>
                <w:szCs w:val="20"/>
              </w:rPr>
              <w:t>10</w:t>
            </w:r>
            <w:r w:rsidR="00F04B87">
              <w:rPr>
                <w:rFonts w:asciiTheme="minorHAnsi" w:hAnsiTheme="minorHAnsi"/>
                <w:sz w:val="20"/>
                <w:szCs w:val="20"/>
              </w:rPr>
              <w:t xml:space="preserve"> metres </w:t>
            </w:r>
          </w:p>
        </w:tc>
      </w:tr>
    </w:tbl>
    <w:p w:rsidR="007A3E39" w:rsidRDefault="00F04B87" w:rsidP="00F04B87">
      <w:pPr>
        <w:pStyle w:val="Heading4"/>
      </w:pPr>
      <w:r>
        <w:lastRenderedPageBreak/>
        <w:t>Side and rear setbacks</w:t>
      </w:r>
    </w:p>
    <w:p w:rsidR="00F04B87" w:rsidRDefault="00F04B87" w:rsidP="00F04B87">
      <w:pPr>
        <w:pStyle w:val="PPVBody"/>
      </w:pPr>
      <w:r>
        <w:t>Below street wall height, the preference is for buildings to be built to the side and rear boundaries, to create a continuous wall along all site frontages.  Upper level side and rear setbacks (above street wall height) vary according to the building’s ground level setback, height and location.</w:t>
      </w:r>
    </w:p>
    <w:p w:rsidR="007A3E39" w:rsidRPr="007A3E39" w:rsidRDefault="007A3E39" w:rsidP="007A3E39">
      <w:pPr>
        <w:pStyle w:val="Caption"/>
        <w:rPr>
          <w:rFonts w:asciiTheme="minorHAnsi" w:hAnsiTheme="minorHAnsi"/>
        </w:rPr>
      </w:pPr>
      <w:r w:rsidRPr="007A3E39">
        <w:rPr>
          <w:rFonts w:asciiTheme="minorHAnsi" w:hAnsiTheme="minorHAnsi"/>
        </w:rPr>
        <w:t xml:space="preserve">Table 5: </w:t>
      </w:r>
      <w:r w:rsidR="00A862F8">
        <w:rPr>
          <w:rFonts w:asciiTheme="minorHAnsi" w:hAnsiTheme="minorHAnsi"/>
        </w:rPr>
        <w:tab/>
        <w:t>Side and rear setbacks</w:t>
      </w:r>
    </w:p>
    <w:tbl>
      <w:tblPr>
        <w:tblStyle w:val="TableGrid"/>
        <w:tblW w:w="9356"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127"/>
        <w:gridCol w:w="1843"/>
        <w:gridCol w:w="1984"/>
        <w:gridCol w:w="1276"/>
        <w:gridCol w:w="2126"/>
      </w:tblGrid>
      <w:tr w:rsidR="007A3E39" w:rsidRPr="007A3E39" w:rsidTr="007A3E39">
        <w:trPr>
          <w:cantSplit/>
          <w:tblHeader/>
        </w:trPr>
        <w:tc>
          <w:tcPr>
            <w:tcW w:w="2127" w:type="dxa"/>
            <w:tcBorders>
              <w:top w:val="nil"/>
              <w:bottom w:val="dotted" w:sz="4" w:space="0" w:color="auto"/>
            </w:tcBorders>
            <w:shd w:val="clear" w:color="auto" w:fill="215868"/>
            <w:vAlign w:val="bottom"/>
          </w:tcPr>
          <w:p w:rsidR="007A3E39" w:rsidRPr="007A3E39" w:rsidRDefault="007A3E39" w:rsidP="007A3E39">
            <w:pPr>
              <w:pStyle w:val="PPVTableHeader"/>
              <w:rPr>
                <w:rFonts w:asciiTheme="minorHAnsi" w:eastAsia="Calibri" w:hAnsiTheme="minorHAnsi"/>
                <w:sz w:val="20"/>
                <w:szCs w:val="20"/>
              </w:rPr>
            </w:pPr>
            <w:r w:rsidRPr="007A3E39">
              <w:rPr>
                <w:rFonts w:asciiTheme="minorHAnsi" w:eastAsia="Calibri" w:hAnsiTheme="minorHAnsi"/>
                <w:sz w:val="20"/>
                <w:szCs w:val="20"/>
              </w:rPr>
              <w:t>Part of building</w:t>
            </w:r>
          </w:p>
        </w:tc>
        <w:tc>
          <w:tcPr>
            <w:tcW w:w="1843" w:type="dxa"/>
            <w:tcBorders>
              <w:top w:val="nil"/>
              <w:bottom w:val="dotted" w:sz="4" w:space="0" w:color="auto"/>
            </w:tcBorders>
            <w:shd w:val="clear" w:color="auto" w:fill="215868"/>
            <w:vAlign w:val="bottom"/>
          </w:tcPr>
          <w:p w:rsidR="007A3E39" w:rsidRPr="007A3E39" w:rsidRDefault="007A3E39" w:rsidP="007A3E39">
            <w:pPr>
              <w:pStyle w:val="PPVTableHeader"/>
              <w:rPr>
                <w:rFonts w:asciiTheme="minorHAnsi" w:eastAsia="Calibri" w:hAnsiTheme="minorHAnsi"/>
                <w:sz w:val="20"/>
                <w:szCs w:val="20"/>
              </w:rPr>
            </w:pPr>
            <w:r w:rsidRPr="007A3E39">
              <w:rPr>
                <w:rFonts w:asciiTheme="minorHAnsi" w:eastAsia="Calibri" w:hAnsiTheme="minorHAnsi"/>
                <w:sz w:val="20"/>
                <w:szCs w:val="20"/>
              </w:rPr>
              <w:t>Building height</w:t>
            </w:r>
          </w:p>
        </w:tc>
        <w:tc>
          <w:tcPr>
            <w:tcW w:w="1984" w:type="dxa"/>
            <w:tcBorders>
              <w:top w:val="nil"/>
              <w:bottom w:val="dotted" w:sz="4" w:space="0" w:color="auto"/>
            </w:tcBorders>
            <w:shd w:val="clear" w:color="auto" w:fill="215868"/>
            <w:vAlign w:val="bottom"/>
          </w:tcPr>
          <w:p w:rsidR="007A3E39" w:rsidRPr="007A3E39" w:rsidRDefault="007A3E39" w:rsidP="007A3E39">
            <w:pPr>
              <w:pStyle w:val="PPVTableHeader"/>
              <w:rPr>
                <w:rFonts w:asciiTheme="minorHAnsi" w:eastAsia="Calibri" w:hAnsiTheme="minorHAnsi"/>
                <w:sz w:val="20"/>
                <w:szCs w:val="20"/>
              </w:rPr>
            </w:pPr>
            <w:r w:rsidRPr="007A3E39">
              <w:rPr>
                <w:rFonts w:asciiTheme="minorHAnsi" w:eastAsia="Calibri" w:hAnsiTheme="minorHAnsi"/>
                <w:sz w:val="20"/>
                <w:szCs w:val="20"/>
              </w:rPr>
              <w:t>Qualification</w:t>
            </w:r>
          </w:p>
        </w:tc>
        <w:tc>
          <w:tcPr>
            <w:tcW w:w="1276" w:type="dxa"/>
            <w:tcBorders>
              <w:top w:val="nil"/>
              <w:bottom w:val="dotted" w:sz="4" w:space="0" w:color="auto"/>
            </w:tcBorders>
            <w:shd w:val="clear" w:color="auto" w:fill="215868"/>
            <w:vAlign w:val="bottom"/>
          </w:tcPr>
          <w:p w:rsidR="007A3E39" w:rsidRPr="007A3E39" w:rsidRDefault="007A3E39" w:rsidP="007A3E39">
            <w:pPr>
              <w:pStyle w:val="PPVTableHeader"/>
              <w:rPr>
                <w:rFonts w:asciiTheme="minorHAnsi" w:hAnsiTheme="minorHAnsi"/>
                <w:sz w:val="20"/>
                <w:szCs w:val="20"/>
              </w:rPr>
            </w:pPr>
            <w:r w:rsidRPr="007A3E39">
              <w:rPr>
                <w:rFonts w:asciiTheme="minorHAnsi" w:eastAsia="Calibri" w:hAnsiTheme="minorHAnsi"/>
                <w:sz w:val="20"/>
                <w:szCs w:val="20"/>
              </w:rPr>
              <w:t>Preferred setback</w:t>
            </w:r>
          </w:p>
        </w:tc>
        <w:tc>
          <w:tcPr>
            <w:tcW w:w="2126" w:type="dxa"/>
            <w:tcBorders>
              <w:top w:val="nil"/>
              <w:bottom w:val="dotted" w:sz="4" w:space="0" w:color="auto"/>
            </w:tcBorders>
            <w:shd w:val="clear" w:color="auto" w:fill="215868"/>
            <w:vAlign w:val="bottom"/>
          </w:tcPr>
          <w:p w:rsidR="007A3E39" w:rsidRPr="007A3E39" w:rsidRDefault="007A3E39" w:rsidP="007A3E39">
            <w:pPr>
              <w:pStyle w:val="PPVTableHeader"/>
              <w:rPr>
                <w:rFonts w:asciiTheme="minorHAnsi" w:hAnsiTheme="minorHAnsi"/>
                <w:sz w:val="20"/>
                <w:szCs w:val="20"/>
              </w:rPr>
            </w:pPr>
            <w:r w:rsidRPr="007A3E39">
              <w:rPr>
                <w:rFonts w:asciiTheme="minorHAnsi" w:hAnsiTheme="minorHAnsi"/>
                <w:sz w:val="20"/>
                <w:szCs w:val="20"/>
              </w:rPr>
              <w:t>Minimum setback</w:t>
            </w:r>
          </w:p>
        </w:tc>
      </w:tr>
      <w:tr w:rsidR="007A3E39" w:rsidRPr="007A3E39" w:rsidTr="007A3E39">
        <w:trPr>
          <w:cantSplit/>
        </w:trPr>
        <w:tc>
          <w:tcPr>
            <w:tcW w:w="2127" w:type="dxa"/>
            <w:tcBorders>
              <w:top w:val="dotted" w:sz="4" w:space="0" w:color="auto"/>
            </w:tcBorders>
          </w:tcPr>
          <w:p w:rsidR="007A3E39" w:rsidRPr="007A3E39" w:rsidRDefault="007A3E39" w:rsidP="007A3E39">
            <w:pPr>
              <w:pStyle w:val="PPVTableText"/>
              <w:rPr>
                <w:rFonts w:asciiTheme="minorHAnsi" w:hAnsiTheme="minorHAnsi"/>
                <w:sz w:val="20"/>
                <w:szCs w:val="20"/>
              </w:rPr>
            </w:pPr>
            <w:r w:rsidRPr="007A3E39">
              <w:rPr>
                <w:rFonts w:asciiTheme="minorHAnsi" w:eastAsia="Calibri" w:hAnsiTheme="minorHAnsi"/>
                <w:sz w:val="20"/>
                <w:szCs w:val="20"/>
              </w:rPr>
              <w:t xml:space="preserve">Below the street wall </w:t>
            </w:r>
            <w:r w:rsidR="00F04B87">
              <w:rPr>
                <w:rFonts w:asciiTheme="minorHAnsi" w:eastAsia="Calibri" w:hAnsiTheme="minorHAnsi"/>
                <w:sz w:val="20"/>
                <w:szCs w:val="20"/>
              </w:rPr>
              <w:t>height</w:t>
            </w:r>
          </w:p>
        </w:tc>
        <w:tc>
          <w:tcPr>
            <w:tcW w:w="1843" w:type="dxa"/>
            <w:tcBorders>
              <w:top w:val="dotted" w:sz="4" w:space="0" w:color="auto"/>
            </w:tcBorders>
          </w:tcPr>
          <w:p w:rsidR="007A3E39" w:rsidRPr="007A3E39" w:rsidRDefault="007A3E39" w:rsidP="007A3E39">
            <w:pPr>
              <w:pStyle w:val="PPVTableText"/>
              <w:rPr>
                <w:rFonts w:asciiTheme="minorHAnsi" w:hAnsiTheme="minorHAnsi"/>
                <w:sz w:val="20"/>
                <w:szCs w:val="20"/>
              </w:rPr>
            </w:pPr>
          </w:p>
        </w:tc>
        <w:tc>
          <w:tcPr>
            <w:tcW w:w="1984" w:type="dxa"/>
            <w:tcBorders>
              <w:top w:val="dotted" w:sz="4" w:space="0" w:color="auto"/>
            </w:tcBorders>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if not within 300</w:t>
            </w:r>
            <w:r w:rsidR="007609B8">
              <w:rPr>
                <w:rFonts w:asciiTheme="minorHAnsi" w:hAnsiTheme="minorHAnsi"/>
                <w:sz w:val="20"/>
                <w:szCs w:val="20"/>
              </w:rPr>
              <w:t xml:space="preserve"> </w:t>
            </w:r>
            <w:r w:rsidRPr="007A3E39">
              <w:rPr>
                <w:rFonts w:asciiTheme="minorHAnsi" w:hAnsiTheme="minorHAnsi"/>
                <w:sz w:val="20"/>
                <w:szCs w:val="20"/>
              </w:rPr>
              <w:t>mm of a side or rear boundary</w:t>
            </w:r>
          </w:p>
        </w:tc>
        <w:tc>
          <w:tcPr>
            <w:tcW w:w="1276" w:type="dxa"/>
            <w:tcBorders>
              <w:top w:val="dotted" w:sz="4" w:space="0" w:color="auto"/>
            </w:tcBorders>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 xml:space="preserve">9 metres </w:t>
            </w:r>
          </w:p>
        </w:tc>
        <w:tc>
          <w:tcPr>
            <w:tcW w:w="2126" w:type="dxa"/>
            <w:tcBorders>
              <w:top w:val="dotted" w:sz="4" w:space="0" w:color="auto"/>
            </w:tcBorders>
          </w:tcPr>
          <w:p w:rsidR="007A3E39" w:rsidRPr="007A3E39" w:rsidRDefault="007A3E39" w:rsidP="007A3E39">
            <w:pPr>
              <w:pStyle w:val="PPVTableText"/>
              <w:rPr>
                <w:rFonts w:asciiTheme="minorHAnsi" w:eastAsia="Calibri" w:hAnsiTheme="minorHAnsi"/>
                <w:sz w:val="20"/>
                <w:szCs w:val="20"/>
              </w:rPr>
            </w:pPr>
            <w:r w:rsidRPr="007A3E39">
              <w:rPr>
                <w:rFonts w:asciiTheme="minorHAnsi" w:eastAsia="Calibri" w:hAnsiTheme="minorHAnsi"/>
                <w:sz w:val="20"/>
                <w:szCs w:val="20"/>
              </w:rPr>
              <w:t>6 metres</w:t>
            </w:r>
          </w:p>
        </w:tc>
      </w:tr>
      <w:tr w:rsidR="007A3E39" w:rsidRPr="007A3E39" w:rsidTr="007A3E39">
        <w:trPr>
          <w:cantSplit/>
        </w:trPr>
        <w:tc>
          <w:tcPr>
            <w:tcW w:w="2127" w:type="dxa"/>
            <w:vMerge w:val="restart"/>
          </w:tcPr>
          <w:p w:rsidR="007A3E39" w:rsidRPr="007A3E39" w:rsidRDefault="00F04B87" w:rsidP="007A3E39">
            <w:pPr>
              <w:pStyle w:val="PPVTableText"/>
              <w:rPr>
                <w:rFonts w:asciiTheme="minorHAnsi" w:eastAsia="Calibri" w:hAnsiTheme="minorHAnsi"/>
                <w:sz w:val="20"/>
                <w:szCs w:val="20"/>
              </w:rPr>
            </w:pPr>
            <w:r>
              <w:rPr>
                <w:rFonts w:asciiTheme="minorHAnsi" w:eastAsia="Calibri" w:hAnsiTheme="minorHAnsi"/>
                <w:sz w:val="20"/>
                <w:szCs w:val="20"/>
              </w:rPr>
              <w:t>Above the street wall height</w:t>
            </w:r>
          </w:p>
        </w:tc>
        <w:tc>
          <w:tcPr>
            <w:tcW w:w="1843" w:type="dxa"/>
            <w:vMerge w:val="restart"/>
          </w:tcPr>
          <w:p w:rsidR="007A3E39" w:rsidRPr="007A3E39" w:rsidRDefault="007A3E39" w:rsidP="007A3E39">
            <w:pPr>
              <w:pStyle w:val="PPVTableText"/>
              <w:rPr>
                <w:rFonts w:asciiTheme="minorHAnsi" w:eastAsia="Calibri" w:hAnsiTheme="minorHAnsi"/>
                <w:sz w:val="20"/>
                <w:szCs w:val="20"/>
              </w:rPr>
            </w:pPr>
            <w:r w:rsidRPr="007A3E39">
              <w:rPr>
                <w:rFonts w:asciiTheme="minorHAnsi" w:hAnsiTheme="minorHAnsi"/>
                <w:sz w:val="20"/>
                <w:szCs w:val="20"/>
              </w:rPr>
              <w:t xml:space="preserve">≤ </w:t>
            </w:r>
            <w:r w:rsidRPr="007A3E39">
              <w:rPr>
                <w:rFonts w:asciiTheme="minorHAnsi" w:eastAsia="Calibri" w:hAnsiTheme="minorHAnsi"/>
                <w:sz w:val="20"/>
                <w:szCs w:val="20"/>
              </w:rPr>
              <w:t>20 storeys</w:t>
            </w:r>
          </w:p>
        </w:tc>
        <w:tc>
          <w:tcPr>
            <w:tcW w:w="1984" w:type="dxa"/>
          </w:tcPr>
          <w:p w:rsidR="007A3E39" w:rsidRPr="007A3E39" w:rsidRDefault="007A3E39" w:rsidP="007A3E39">
            <w:pPr>
              <w:pStyle w:val="PPVTableText"/>
              <w:rPr>
                <w:rFonts w:asciiTheme="minorHAnsi" w:hAnsiTheme="minorHAnsi"/>
                <w:sz w:val="20"/>
                <w:szCs w:val="20"/>
              </w:rPr>
            </w:pPr>
            <w:r w:rsidRPr="007A3E39">
              <w:rPr>
                <w:rFonts w:asciiTheme="minorHAnsi" w:eastAsia="Calibri" w:hAnsiTheme="minorHAnsi"/>
                <w:sz w:val="20"/>
                <w:szCs w:val="20"/>
              </w:rPr>
              <w:t>where the building below the street wall is built on the boundary</w:t>
            </w:r>
          </w:p>
        </w:tc>
        <w:tc>
          <w:tcPr>
            <w:tcW w:w="1276"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10 metres</w:t>
            </w:r>
          </w:p>
        </w:tc>
        <w:tc>
          <w:tcPr>
            <w:tcW w:w="2126" w:type="dxa"/>
          </w:tcPr>
          <w:p w:rsidR="007A3E39" w:rsidRPr="007A3E39" w:rsidRDefault="007A3E39" w:rsidP="007A3E39">
            <w:pPr>
              <w:pStyle w:val="PPVTableText"/>
              <w:rPr>
                <w:rFonts w:asciiTheme="minorHAnsi" w:eastAsia="Calibri" w:hAnsiTheme="minorHAnsi"/>
                <w:sz w:val="20"/>
                <w:szCs w:val="20"/>
              </w:rPr>
            </w:pPr>
            <w:r w:rsidRPr="007A3E39">
              <w:rPr>
                <w:rFonts w:asciiTheme="minorHAnsi" w:eastAsia="Calibri" w:hAnsiTheme="minorHAnsi"/>
                <w:sz w:val="20"/>
                <w:szCs w:val="20"/>
              </w:rPr>
              <w:t>5 metres</w:t>
            </w:r>
          </w:p>
        </w:tc>
      </w:tr>
      <w:tr w:rsidR="007A3E39" w:rsidRPr="007A3E39" w:rsidTr="007A3E39">
        <w:trPr>
          <w:cantSplit/>
        </w:trPr>
        <w:tc>
          <w:tcPr>
            <w:tcW w:w="2127" w:type="dxa"/>
            <w:vMerge/>
          </w:tcPr>
          <w:p w:rsidR="007A3E39" w:rsidRPr="007A3E39" w:rsidRDefault="007A3E39" w:rsidP="007A3E39">
            <w:pPr>
              <w:pStyle w:val="PPVTableText"/>
              <w:rPr>
                <w:rFonts w:asciiTheme="minorHAnsi" w:eastAsia="Calibri" w:hAnsiTheme="minorHAnsi"/>
                <w:sz w:val="20"/>
                <w:szCs w:val="20"/>
              </w:rPr>
            </w:pPr>
          </w:p>
        </w:tc>
        <w:tc>
          <w:tcPr>
            <w:tcW w:w="1843" w:type="dxa"/>
            <w:vMerge/>
          </w:tcPr>
          <w:p w:rsidR="007A3E39" w:rsidRPr="007A3E39" w:rsidRDefault="007A3E39" w:rsidP="007A3E39">
            <w:pPr>
              <w:pStyle w:val="PPVTableText"/>
              <w:rPr>
                <w:rFonts w:asciiTheme="minorHAnsi" w:hAnsiTheme="minorHAnsi"/>
                <w:sz w:val="20"/>
                <w:szCs w:val="20"/>
              </w:rPr>
            </w:pPr>
          </w:p>
        </w:tc>
        <w:tc>
          <w:tcPr>
            <w:tcW w:w="1984"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Other buildings</w:t>
            </w:r>
          </w:p>
        </w:tc>
        <w:tc>
          <w:tcPr>
            <w:tcW w:w="1276"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 xml:space="preserve">10 metres </w:t>
            </w:r>
          </w:p>
        </w:tc>
        <w:tc>
          <w:tcPr>
            <w:tcW w:w="2126" w:type="dxa"/>
          </w:tcPr>
          <w:p w:rsidR="007A3E39" w:rsidRPr="007A3E39" w:rsidRDefault="007A3E39" w:rsidP="007A3E39">
            <w:pPr>
              <w:pStyle w:val="PPVTableText"/>
              <w:rPr>
                <w:rFonts w:asciiTheme="minorHAnsi" w:eastAsia="Calibri" w:hAnsiTheme="minorHAnsi"/>
                <w:sz w:val="20"/>
                <w:szCs w:val="20"/>
              </w:rPr>
            </w:pPr>
            <w:r w:rsidRPr="007A3E39">
              <w:rPr>
                <w:rFonts w:asciiTheme="minorHAnsi" w:eastAsia="Calibri" w:hAnsiTheme="minorHAnsi"/>
                <w:sz w:val="20"/>
                <w:szCs w:val="20"/>
              </w:rPr>
              <w:t>10 metres</w:t>
            </w:r>
          </w:p>
        </w:tc>
      </w:tr>
      <w:tr w:rsidR="007A3E39" w:rsidRPr="007A3E39" w:rsidTr="007A3E39">
        <w:trPr>
          <w:cantSplit/>
        </w:trPr>
        <w:tc>
          <w:tcPr>
            <w:tcW w:w="2127" w:type="dxa"/>
            <w:vMerge/>
          </w:tcPr>
          <w:p w:rsidR="007A3E39" w:rsidRPr="007A3E39" w:rsidRDefault="007A3E39" w:rsidP="007A3E39">
            <w:pPr>
              <w:pStyle w:val="PPVTableText"/>
              <w:rPr>
                <w:rFonts w:asciiTheme="minorHAnsi" w:hAnsiTheme="minorHAnsi"/>
                <w:sz w:val="20"/>
                <w:szCs w:val="20"/>
              </w:rPr>
            </w:pPr>
          </w:p>
        </w:tc>
        <w:tc>
          <w:tcPr>
            <w:tcW w:w="1843" w:type="dxa"/>
            <w:vMerge w:val="restart"/>
          </w:tcPr>
          <w:p w:rsidR="007A3E39" w:rsidRPr="007A3E39" w:rsidRDefault="007A3E39" w:rsidP="007A3E39">
            <w:pPr>
              <w:pStyle w:val="PPVTableText"/>
              <w:rPr>
                <w:rFonts w:asciiTheme="minorHAnsi" w:eastAsia="Calibri" w:hAnsiTheme="minorHAnsi"/>
                <w:sz w:val="20"/>
                <w:szCs w:val="20"/>
              </w:rPr>
            </w:pPr>
            <w:r w:rsidRPr="007A3E39">
              <w:rPr>
                <w:rFonts w:asciiTheme="minorHAnsi" w:hAnsiTheme="minorHAnsi"/>
                <w:sz w:val="20"/>
                <w:szCs w:val="20"/>
              </w:rPr>
              <w:t>&gt; 20 storeys</w:t>
            </w:r>
          </w:p>
        </w:tc>
        <w:tc>
          <w:tcPr>
            <w:tcW w:w="1984" w:type="dxa"/>
          </w:tcPr>
          <w:p w:rsidR="007A3E39" w:rsidRPr="007A3E39" w:rsidRDefault="007A3E39" w:rsidP="007A3E39">
            <w:pPr>
              <w:pStyle w:val="PPVTableText"/>
              <w:rPr>
                <w:rFonts w:asciiTheme="minorHAnsi" w:eastAsia="Calibri" w:hAnsiTheme="minorHAnsi"/>
                <w:sz w:val="20"/>
                <w:szCs w:val="20"/>
              </w:rPr>
            </w:pPr>
            <w:r w:rsidRPr="007A3E39">
              <w:rPr>
                <w:rFonts w:asciiTheme="minorHAnsi" w:eastAsia="Calibri" w:hAnsiTheme="minorHAnsi"/>
                <w:sz w:val="20"/>
                <w:szCs w:val="20"/>
              </w:rPr>
              <w:t>where the building has direct interface with:</w:t>
            </w:r>
          </w:p>
          <w:p w:rsidR="007A3E39" w:rsidRPr="007A3E39" w:rsidRDefault="00880E6C" w:rsidP="007A3E39">
            <w:pPr>
              <w:pStyle w:val="PPVTableTextBullet"/>
              <w:rPr>
                <w:rFonts w:asciiTheme="minorHAnsi" w:eastAsia="Calibri" w:hAnsiTheme="minorHAnsi"/>
                <w:sz w:val="20"/>
                <w:szCs w:val="20"/>
              </w:rPr>
            </w:pPr>
            <w:r>
              <w:rPr>
                <w:rFonts w:asciiTheme="minorHAnsi" w:eastAsia="Calibri" w:hAnsiTheme="minorHAnsi"/>
                <w:sz w:val="20"/>
                <w:szCs w:val="20"/>
              </w:rPr>
              <w:t>West G</w:t>
            </w:r>
            <w:r w:rsidR="007A3E39" w:rsidRPr="007A3E39">
              <w:rPr>
                <w:rFonts w:asciiTheme="minorHAnsi" w:eastAsia="Calibri" w:hAnsiTheme="minorHAnsi"/>
                <w:sz w:val="20"/>
                <w:szCs w:val="20"/>
              </w:rPr>
              <w:t>ate Freeway</w:t>
            </w:r>
          </w:p>
          <w:p w:rsidR="007A3E39" w:rsidRPr="007A3E39" w:rsidRDefault="007A3E39" w:rsidP="007A3E39">
            <w:pPr>
              <w:pStyle w:val="PPVTableTextBullet"/>
              <w:rPr>
                <w:rFonts w:asciiTheme="minorHAnsi" w:hAnsiTheme="minorHAnsi"/>
                <w:sz w:val="20"/>
                <w:szCs w:val="20"/>
              </w:rPr>
            </w:pPr>
            <w:r w:rsidRPr="007A3E39">
              <w:rPr>
                <w:rFonts w:asciiTheme="minorHAnsi" w:eastAsia="Calibri" w:hAnsiTheme="minorHAnsi"/>
                <w:sz w:val="20"/>
                <w:szCs w:val="20"/>
              </w:rPr>
              <w:t>City Link overpass</w:t>
            </w:r>
          </w:p>
        </w:tc>
        <w:tc>
          <w:tcPr>
            <w:tcW w:w="1276"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10 metres</w:t>
            </w:r>
          </w:p>
        </w:tc>
        <w:tc>
          <w:tcPr>
            <w:tcW w:w="2126" w:type="dxa"/>
          </w:tcPr>
          <w:p w:rsidR="007A3E39" w:rsidRPr="007A3E39" w:rsidRDefault="00F04B87" w:rsidP="007A3E39">
            <w:pPr>
              <w:pStyle w:val="PPVTableText"/>
              <w:rPr>
                <w:rFonts w:asciiTheme="minorHAnsi" w:eastAsia="Calibri" w:hAnsiTheme="minorHAnsi"/>
                <w:sz w:val="20"/>
                <w:szCs w:val="20"/>
              </w:rPr>
            </w:pPr>
            <w:r>
              <w:rPr>
                <w:rFonts w:asciiTheme="minorHAnsi" w:eastAsia="Calibri" w:hAnsiTheme="minorHAnsi"/>
                <w:sz w:val="20"/>
                <w:szCs w:val="20"/>
              </w:rPr>
              <w:t xml:space="preserve">5 metres </w:t>
            </w:r>
          </w:p>
        </w:tc>
      </w:tr>
      <w:tr w:rsidR="007A3E39" w:rsidRPr="007A3E39" w:rsidTr="007A3E39">
        <w:trPr>
          <w:cantSplit/>
        </w:trPr>
        <w:tc>
          <w:tcPr>
            <w:tcW w:w="2127" w:type="dxa"/>
            <w:vMerge/>
          </w:tcPr>
          <w:p w:rsidR="007A3E39" w:rsidRPr="007A3E39" w:rsidRDefault="007A3E39" w:rsidP="007A3E39">
            <w:pPr>
              <w:pStyle w:val="PPVTableText"/>
              <w:rPr>
                <w:rFonts w:asciiTheme="minorHAnsi" w:hAnsiTheme="minorHAnsi"/>
                <w:sz w:val="20"/>
                <w:szCs w:val="20"/>
              </w:rPr>
            </w:pPr>
          </w:p>
        </w:tc>
        <w:tc>
          <w:tcPr>
            <w:tcW w:w="1843" w:type="dxa"/>
            <w:vMerge/>
          </w:tcPr>
          <w:p w:rsidR="007A3E39" w:rsidRPr="007A3E39" w:rsidRDefault="007A3E39" w:rsidP="007A3E39">
            <w:pPr>
              <w:pStyle w:val="PPVTableText"/>
              <w:rPr>
                <w:rFonts w:asciiTheme="minorHAnsi" w:hAnsiTheme="minorHAnsi"/>
                <w:sz w:val="20"/>
                <w:szCs w:val="20"/>
              </w:rPr>
            </w:pPr>
          </w:p>
        </w:tc>
        <w:tc>
          <w:tcPr>
            <w:tcW w:w="1984"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Other buildings</w:t>
            </w:r>
          </w:p>
        </w:tc>
        <w:tc>
          <w:tcPr>
            <w:tcW w:w="1276"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10 metres</w:t>
            </w:r>
          </w:p>
        </w:tc>
        <w:tc>
          <w:tcPr>
            <w:tcW w:w="2126" w:type="dxa"/>
          </w:tcPr>
          <w:p w:rsidR="007A3E39" w:rsidRPr="007A3E39" w:rsidRDefault="007A3E39" w:rsidP="007A3E39">
            <w:pPr>
              <w:pStyle w:val="PPVTableText"/>
              <w:rPr>
                <w:rFonts w:asciiTheme="minorHAnsi" w:eastAsia="Calibri" w:hAnsiTheme="minorHAnsi"/>
                <w:sz w:val="20"/>
                <w:szCs w:val="20"/>
              </w:rPr>
            </w:pPr>
            <w:r w:rsidRPr="007A3E39">
              <w:rPr>
                <w:rFonts w:asciiTheme="minorHAnsi" w:eastAsia="Calibri" w:hAnsiTheme="minorHAnsi"/>
                <w:sz w:val="20"/>
                <w:szCs w:val="20"/>
              </w:rPr>
              <w:t>10 metres</w:t>
            </w:r>
          </w:p>
        </w:tc>
      </w:tr>
    </w:tbl>
    <w:p w:rsidR="007A3E39" w:rsidRDefault="00F04B87" w:rsidP="00F04B87">
      <w:pPr>
        <w:pStyle w:val="Heading4"/>
      </w:pPr>
      <w:r>
        <w:t>Building separation within a site</w:t>
      </w:r>
    </w:p>
    <w:p w:rsidR="00A862F8" w:rsidRDefault="00A862F8" w:rsidP="00A862F8">
      <w:pPr>
        <w:pStyle w:val="PPVBody"/>
      </w:pPr>
      <w:r>
        <w:t>Building separation requirements are proposed to protect internal amenity, allow sunlight penetration to open space and streets, and ensure tall buildings do not appear as a continuous wall when v</w:t>
      </w:r>
      <w:r w:rsidR="007609B8">
        <w:t>iewed from street level or the Yarra R</w:t>
      </w:r>
      <w:r>
        <w:t>iver.  Greater separation is required between tower elements above the street wall height.  Building separation requirements above the street wall height var</w:t>
      </w:r>
      <w:r w:rsidR="00F45F1E">
        <w:t>y depending on building height.</w:t>
      </w:r>
    </w:p>
    <w:p w:rsidR="007A3E39" w:rsidRPr="007A3E39" w:rsidRDefault="007A3E39" w:rsidP="007A3E39">
      <w:pPr>
        <w:pStyle w:val="Caption"/>
        <w:rPr>
          <w:rFonts w:asciiTheme="minorHAnsi" w:hAnsiTheme="minorHAnsi"/>
        </w:rPr>
      </w:pPr>
      <w:r w:rsidRPr="007A3E39">
        <w:rPr>
          <w:rFonts w:asciiTheme="minorHAnsi" w:hAnsiTheme="minorHAnsi"/>
        </w:rPr>
        <w:t xml:space="preserve">Table 6: </w:t>
      </w:r>
      <w:r w:rsidR="00A862F8">
        <w:rPr>
          <w:rFonts w:asciiTheme="minorHAnsi" w:hAnsiTheme="minorHAnsi"/>
        </w:rPr>
        <w:tab/>
      </w:r>
      <w:r w:rsidRPr="007A3E39">
        <w:rPr>
          <w:rFonts w:asciiTheme="minorHAnsi" w:hAnsiTheme="minorHAnsi"/>
        </w:rPr>
        <w:t>Minimum building separ</w:t>
      </w:r>
      <w:r w:rsidR="00A862F8">
        <w:rPr>
          <w:rFonts w:asciiTheme="minorHAnsi" w:hAnsiTheme="minorHAnsi"/>
        </w:rPr>
        <w:t>ation within a site</w:t>
      </w:r>
    </w:p>
    <w:tbl>
      <w:tblPr>
        <w:tblStyle w:val="TableGrid"/>
        <w:tblW w:w="9356"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127"/>
        <w:gridCol w:w="2551"/>
        <w:gridCol w:w="2127"/>
        <w:gridCol w:w="2551"/>
      </w:tblGrid>
      <w:tr w:rsidR="007A3E39" w:rsidRPr="007A3E39" w:rsidTr="007A3E39">
        <w:trPr>
          <w:cantSplit/>
          <w:tblHeader/>
        </w:trPr>
        <w:tc>
          <w:tcPr>
            <w:tcW w:w="2127" w:type="dxa"/>
            <w:tcBorders>
              <w:top w:val="nil"/>
              <w:bottom w:val="dotted" w:sz="4" w:space="0" w:color="auto"/>
            </w:tcBorders>
            <w:shd w:val="clear" w:color="auto" w:fill="215868"/>
            <w:vAlign w:val="bottom"/>
          </w:tcPr>
          <w:p w:rsidR="007A3E39" w:rsidRPr="007A3E39" w:rsidRDefault="007A3E39" w:rsidP="007A3E39">
            <w:pPr>
              <w:pStyle w:val="PPVTableHeader"/>
              <w:rPr>
                <w:rFonts w:asciiTheme="minorHAnsi" w:hAnsiTheme="minorHAnsi"/>
                <w:sz w:val="20"/>
                <w:szCs w:val="20"/>
              </w:rPr>
            </w:pPr>
            <w:r w:rsidRPr="007A3E39">
              <w:rPr>
                <w:rFonts w:asciiTheme="minorHAnsi" w:hAnsiTheme="minorHAnsi"/>
                <w:sz w:val="20"/>
                <w:szCs w:val="20"/>
              </w:rPr>
              <w:t>Part of building</w:t>
            </w:r>
          </w:p>
        </w:tc>
        <w:tc>
          <w:tcPr>
            <w:tcW w:w="2551" w:type="dxa"/>
            <w:tcBorders>
              <w:top w:val="nil"/>
              <w:bottom w:val="dotted" w:sz="4" w:space="0" w:color="auto"/>
            </w:tcBorders>
            <w:shd w:val="clear" w:color="auto" w:fill="215868"/>
            <w:vAlign w:val="bottom"/>
          </w:tcPr>
          <w:p w:rsidR="007A3E39" w:rsidRPr="007A3E39" w:rsidRDefault="007A3E39" w:rsidP="007A3E39">
            <w:pPr>
              <w:pStyle w:val="PPVTableHeader"/>
              <w:rPr>
                <w:rFonts w:asciiTheme="minorHAnsi" w:eastAsia="Calibri" w:hAnsiTheme="minorHAnsi"/>
                <w:sz w:val="20"/>
                <w:szCs w:val="20"/>
              </w:rPr>
            </w:pPr>
            <w:r w:rsidRPr="007A3E39">
              <w:rPr>
                <w:rFonts w:asciiTheme="minorHAnsi" w:eastAsia="Calibri" w:hAnsiTheme="minorHAnsi"/>
                <w:sz w:val="20"/>
                <w:szCs w:val="20"/>
              </w:rPr>
              <w:t>Qualification</w:t>
            </w:r>
          </w:p>
        </w:tc>
        <w:tc>
          <w:tcPr>
            <w:tcW w:w="2127" w:type="dxa"/>
            <w:tcBorders>
              <w:top w:val="nil"/>
              <w:bottom w:val="dotted" w:sz="4" w:space="0" w:color="auto"/>
            </w:tcBorders>
            <w:shd w:val="clear" w:color="auto" w:fill="215868"/>
            <w:vAlign w:val="bottom"/>
          </w:tcPr>
          <w:p w:rsidR="007A3E39" w:rsidRPr="007A3E39" w:rsidRDefault="007A3E39" w:rsidP="007A3E39">
            <w:pPr>
              <w:pStyle w:val="PPVTableHeader"/>
              <w:rPr>
                <w:rFonts w:asciiTheme="minorHAnsi" w:hAnsiTheme="minorHAnsi"/>
                <w:sz w:val="20"/>
                <w:szCs w:val="20"/>
              </w:rPr>
            </w:pPr>
            <w:r w:rsidRPr="007A3E39">
              <w:rPr>
                <w:rFonts w:asciiTheme="minorHAnsi" w:eastAsia="Calibri" w:hAnsiTheme="minorHAnsi"/>
                <w:sz w:val="20"/>
                <w:szCs w:val="20"/>
              </w:rPr>
              <w:t>Preferred building separation</w:t>
            </w:r>
          </w:p>
        </w:tc>
        <w:tc>
          <w:tcPr>
            <w:tcW w:w="2551" w:type="dxa"/>
            <w:tcBorders>
              <w:top w:val="nil"/>
              <w:bottom w:val="dotted" w:sz="4" w:space="0" w:color="auto"/>
            </w:tcBorders>
            <w:shd w:val="clear" w:color="auto" w:fill="215868"/>
            <w:vAlign w:val="bottom"/>
          </w:tcPr>
          <w:p w:rsidR="007A3E39" w:rsidRPr="007A3E39" w:rsidRDefault="007A3E39" w:rsidP="007A3E39">
            <w:pPr>
              <w:pStyle w:val="PPVTableHeader"/>
              <w:rPr>
                <w:rFonts w:asciiTheme="minorHAnsi" w:hAnsiTheme="minorHAnsi"/>
                <w:sz w:val="20"/>
                <w:szCs w:val="20"/>
              </w:rPr>
            </w:pPr>
            <w:r w:rsidRPr="007A3E39">
              <w:rPr>
                <w:rFonts w:asciiTheme="minorHAnsi" w:eastAsia="Calibri" w:hAnsiTheme="minorHAnsi"/>
                <w:sz w:val="20"/>
                <w:szCs w:val="20"/>
              </w:rPr>
              <w:t>Minimum building separation</w:t>
            </w:r>
          </w:p>
        </w:tc>
      </w:tr>
      <w:tr w:rsidR="007A3E39" w:rsidRPr="007A3E39" w:rsidTr="007A3E39">
        <w:trPr>
          <w:cantSplit/>
        </w:trPr>
        <w:tc>
          <w:tcPr>
            <w:tcW w:w="2127" w:type="dxa"/>
            <w:tcBorders>
              <w:top w:val="dotted" w:sz="4" w:space="0" w:color="auto"/>
            </w:tcBorders>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Below the street wall</w:t>
            </w:r>
          </w:p>
        </w:tc>
        <w:tc>
          <w:tcPr>
            <w:tcW w:w="2551" w:type="dxa"/>
            <w:tcBorders>
              <w:top w:val="dotted" w:sz="4" w:space="0" w:color="auto"/>
            </w:tcBorders>
          </w:tcPr>
          <w:p w:rsidR="007A3E39" w:rsidRPr="007A3E39" w:rsidRDefault="007A3E39" w:rsidP="007A3E39">
            <w:pPr>
              <w:pStyle w:val="PPVTableText"/>
              <w:rPr>
                <w:rFonts w:asciiTheme="minorHAnsi" w:hAnsiTheme="minorHAnsi"/>
                <w:sz w:val="20"/>
                <w:szCs w:val="20"/>
              </w:rPr>
            </w:pPr>
          </w:p>
        </w:tc>
        <w:tc>
          <w:tcPr>
            <w:tcW w:w="2127" w:type="dxa"/>
            <w:tcBorders>
              <w:top w:val="dotted" w:sz="4" w:space="0" w:color="auto"/>
            </w:tcBorders>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12</w:t>
            </w:r>
            <w:r w:rsidR="00F04B87">
              <w:rPr>
                <w:rFonts w:asciiTheme="minorHAnsi" w:hAnsiTheme="minorHAnsi"/>
                <w:sz w:val="20"/>
                <w:szCs w:val="20"/>
              </w:rPr>
              <w:t xml:space="preserve"> metres </w:t>
            </w:r>
          </w:p>
        </w:tc>
        <w:tc>
          <w:tcPr>
            <w:tcW w:w="2551" w:type="dxa"/>
            <w:tcBorders>
              <w:top w:val="dotted" w:sz="4" w:space="0" w:color="auto"/>
            </w:tcBorders>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6</w:t>
            </w:r>
            <w:r w:rsidR="00D43FF1">
              <w:rPr>
                <w:rFonts w:asciiTheme="minorHAnsi" w:hAnsiTheme="minorHAnsi"/>
                <w:sz w:val="20"/>
                <w:szCs w:val="20"/>
              </w:rPr>
              <w:t xml:space="preserve"> metres</w:t>
            </w:r>
          </w:p>
        </w:tc>
      </w:tr>
      <w:tr w:rsidR="007A3E39" w:rsidRPr="007A3E39" w:rsidTr="007A3E39">
        <w:trPr>
          <w:cantSplit/>
        </w:trPr>
        <w:tc>
          <w:tcPr>
            <w:tcW w:w="2127" w:type="dxa"/>
            <w:vMerge w:val="restart"/>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Above the street wall</w:t>
            </w:r>
          </w:p>
        </w:tc>
        <w:tc>
          <w:tcPr>
            <w:tcW w:w="2551"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A new building up to 20 storeys in height</w:t>
            </w:r>
          </w:p>
        </w:tc>
        <w:tc>
          <w:tcPr>
            <w:tcW w:w="2127"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20</w:t>
            </w:r>
            <w:r w:rsidR="00F04B87">
              <w:rPr>
                <w:rFonts w:asciiTheme="minorHAnsi" w:hAnsiTheme="minorHAnsi"/>
                <w:sz w:val="20"/>
                <w:szCs w:val="20"/>
              </w:rPr>
              <w:t xml:space="preserve"> metres  </w:t>
            </w:r>
          </w:p>
        </w:tc>
        <w:tc>
          <w:tcPr>
            <w:tcW w:w="2551"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10</w:t>
            </w:r>
            <w:r w:rsidR="00A862F8">
              <w:rPr>
                <w:rFonts w:asciiTheme="minorHAnsi" w:hAnsiTheme="minorHAnsi"/>
                <w:sz w:val="20"/>
                <w:szCs w:val="20"/>
              </w:rPr>
              <w:t xml:space="preserve"> metres </w:t>
            </w:r>
          </w:p>
        </w:tc>
      </w:tr>
      <w:tr w:rsidR="007A3E39" w:rsidRPr="007A3E39" w:rsidTr="007A3E39">
        <w:trPr>
          <w:cantSplit/>
        </w:trPr>
        <w:tc>
          <w:tcPr>
            <w:tcW w:w="2127" w:type="dxa"/>
            <w:vMerge/>
          </w:tcPr>
          <w:p w:rsidR="007A3E39" w:rsidRPr="007A3E39" w:rsidRDefault="007A3E39" w:rsidP="007A3E39">
            <w:pPr>
              <w:pStyle w:val="PPVTableText"/>
              <w:rPr>
                <w:rFonts w:asciiTheme="minorHAnsi" w:hAnsiTheme="minorHAnsi"/>
                <w:sz w:val="20"/>
                <w:szCs w:val="20"/>
              </w:rPr>
            </w:pPr>
          </w:p>
        </w:tc>
        <w:tc>
          <w:tcPr>
            <w:tcW w:w="2551"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A new building over 20 storeys in height</w:t>
            </w:r>
          </w:p>
        </w:tc>
        <w:tc>
          <w:tcPr>
            <w:tcW w:w="2127"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20</w:t>
            </w:r>
            <w:r w:rsidR="00F04B87">
              <w:rPr>
                <w:rFonts w:asciiTheme="minorHAnsi" w:hAnsiTheme="minorHAnsi"/>
                <w:sz w:val="20"/>
                <w:szCs w:val="20"/>
              </w:rPr>
              <w:t xml:space="preserve"> metres </w:t>
            </w:r>
          </w:p>
        </w:tc>
        <w:tc>
          <w:tcPr>
            <w:tcW w:w="2551" w:type="dxa"/>
          </w:tcPr>
          <w:p w:rsidR="007A3E39" w:rsidRPr="007A3E39" w:rsidRDefault="007A3E39" w:rsidP="007A3E39">
            <w:pPr>
              <w:pStyle w:val="PPVTableText"/>
              <w:rPr>
                <w:rFonts w:asciiTheme="minorHAnsi" w:hAnsiTheme="minorHAnsi"/>
                <w:sz w:val="20"/>
                <w:szCs w:val="20"/>
              </w:rPr>
            </w:pPr>
            <w:r w:rsidRPr="007A3E39">
              <w:rPr>
                <w:rFonts w:asciiTheme="minorHAnsi" w:hAnsiTheme="minorHAnsi"/>
                <w:sz w:val="20"/>
                <w:szCs w:val="20"/>
              </w:rPr>
              <w:t>20</w:t>
            </w:r>
            <w:r w:rsidR="00A862F8">
              <w:rPr>
                <w:rFonts w:asciiTheme="minorHAnsi" w:hAnsiTheme="minorHAnsi"/>
                <w:sz w:val="20"/>
                <w:szCs w:val="20"/>
              </w:rPr>
              <w:t xml:space="preserve"> metres </w:t>
            </w:r>
            <w:r w:rsidRPr="007A3E39">
              <w:rPr>
                <w:rFonts w:asciiTheme="minorHAnsi" w:hAnsiTheme="minorHAnsi"/>
                <w:sz w:val="20"/>
                <w:szCs w:val="20"/>
              </w:rPr>
              <w:t xml:space="preserve"> </w:t>
            </w:r>
          </w:p>
        </w:tc>
      </w:tr>
    </w:tbl>
    <w:p w:rsidR="00222A51" w:rsidRDefault="00A862F8" w:rsidP="00B67CC7">
      <w:pPr>
        <w:pStyle w:val="Heading2"/>
      </w:pPr>
      <w:bookmarkStart w:id="37" w:name="_Toc519849256"/>
      <w:r>
        <w:lastRenderedPageBreak/>
        <w:t>General urban structure</w:t>
      </w:r>
      <w:bookmarkEnd w:id="37"/>
    </w:p>
    <w:p w:rsidR="00960588" w:rsidRDefault="00A862F8" w:rsidP="00A862F8">
      <w:pPr>
        <w:pStyle w:val="Heading4"/>
      </w:pPr>
      <w:r>
        <w:t xml:space="preserve">Submissions and evidence </w:t>
      </w:r>
    </w:p>
    <w:p w:rsidR="00A862F8" w:rsidRDefault="00D67DA2" w:rsidP="00960588">
      <w:pPr>
        <w:pStyle w:val="PPVBody"/>
      </w:pPr>
      <w:r>
        <w:t xml:space="preserve">The Minister </w:t>
      </w:r>
      <w:r w:rsidR="0034160D">
        <w:t>submitted that</w:t>
      </w:r>
      <w:r>
        <w:t xml:space="preserve"> the built form and urban structure as exhibited </w:t>
      </w:r>
      <w:r w:rsidR="0034160D">
        <w:t xml:space="preserve">in the controls </w:t>
      </w:r>
      <w:r>
        <w:t xml:space="preserve">expressed </w:t>
      </w:r>
      <w:r w:rsidR="0034160D">
        <w:t xml:space="preserve">the built form outcomes and preferred character sought </w:t>
      </w:r>
      <w:r>
        <w:t>through the Vision and the draft Framework.</w:t>
      </w:r>
    </w:p>
    <w:p w:rsidR="00B31A29" w:rsidRDefault="003B4CA3" w:rsidP="00960588">
      <w:pPr>
        <w:pStyle w:val="PPVBody"/>
      </w:pPr>
      <w:r>
        <w:t xml:space="preserve">Port Phillip preferred a refinement of the building heights and in the main, a reduction in the overall heights to reflect its proposed urban structure.  Much of this was driven by the avoidance of overshadowing on key civic spines and the South Melbourne Market area.  </w:t>
      </w:r>
      <w:r w:rsidR="007E5A37">
        <w:t>Port Phillip</w:t>
      </w:r>
      <w:r w:rsidR="00D43FF1">
        <w:t xml:space="preserve"> relied on its Urban Structure R</w:t>
      </w:r>
      <w:r w:rsidR="007E5A37">
        <w:t>eport to define the overall heights</w:t>
      </w:r>
      <w:r w:rsidR="00D43FF1">
        <w:t xml:space="preserve"> and</w:t>
      </w:r>
      <w:r w:rsidR="00B31A29">
        <w:t xml:space="preserve"> submitted</w:t>
      </w:r>
      <w:r w:rsidR="00B31A29">
        <w:rPr>
          <w:rStyle w:val="FootnoteReference"/>
        </w:rPr>
        <w:footnoteReference w:id="9"/>
      </w:r>
      <w:r w:rsidR="00B31A29">
        <w:t>:</w:t>
      </w:r>
    </w:p>
    <w:p w:rsidR="00B31A29" w:rsidRDefault="00B31A29" w:rsidP="00B31A29">
      <w:pPr>
        <w:pStyle w:val="PPVQuote"/>
      </w:pPr>
      <w:r>
        <w:t xml:space="preserve">The character area/neighbourhood breakdown that is currently proposed for Montague in the MSS </w:t>
      </w:r>
      <w:r w:rsidR="0034160D">
        <w:t xml:space="preserve">[should] </w:t>
      </w:r>
      <w:r>
        <w:t>be modified to allow for more refined guidance to be provided about the built form outcomes and architectural typologies that are anticipated for Montague.</w:t>
      </w:r>
    </w:p>
    <w:p w:rsidR="00CB4A73" w:rsidRDefault="00CB4A73" w:rsidP="00960588">
      <w:pPr>
        <w:pStyle w:val="PPVBody"/>
      </w:pPr>
      <w:r>
        <w:t>Both the Minister and Port Phillip supported the distinction between Montague North and South, and the lower built form edge along City Road (to Ferrars Street) and Boundary Road.  Port Phillip preferred that subprecincts M2 and M4 be combined, and include the area to the south of Montague Street.</w:t>
      </w:r>
    </w:p>
    <w:p w:rsidR="00EE04F5" w:rsidRPr="00EE04F5" w:rsidRDefault="00EE04F5" w:rsidP="00960588">
      <w:pPr>
        <w:pStyle w:val="PPVBody"/>
      </w:pPr>
      <w:r>
        <w:t xml:space="preserve">Port Phillip proposed that Buckhurst Street, which it </w:t>
      </w:r>
      <w:r w:rsidR="0034160D">
        <w:t>regarded as</w:t>
      </w:r>
      <w:r>
        <w:t xml:space="preserve"> the most important street in Montague</w:t>
      </w:r>
      <w:r w:rsidR="0034160D">
        <w:t>,</w:t>
      </w:r>
      <w:r>
        <w:t xml:space="preserve"> </w:t>
      </w:r>
      <w:r w:rsidRPr="00EE04F5">
        <w:rPr>
          <w:i/>
        </w:rPr>
        <w:t>“be reimagined as a “high street” anchored by community facilities, characterised with a very high landscape quality and a range of fine grain retail, convenience shopping, local services, cafes and restaurants”.</w:t>
      </w:r>
      <w:r>
        <w:rPr>
          <w:i/>
        </w:rPr>
        <w:t xml:space="preserve">  </w:t>
      </w:r>
      <w:r>
        <w:t xml:space="preserve">It supported mid-rise development in Montague South, higher rise in Montague North and </w:t>
      </w:r>
      <w:r w:rsidR="0034160D">
        <w:t xml:space="preserve">lower heights at the edges of Montague South to assist its </w:t>
      </w:r>
      <w:r>
        <w:t xml:space="preserve">integration into the adjacent areas of South </w:t>
      </w:r>
      <w:r w:rsidR="0034160D">
        <w:t xml:space="preserve">Melbourne </w:t>
      </w:r>
      <w:r>
        <w:t>and Port Melbourne.  Further, Port Phillip sought the creation of a ‘high line’ style elevated</w:t>
      </w:r>
      <w:r w:rsidR="00DD2D78">
        <w:t xml:space="preserve"> park above the route 109 tram </w:t>
      </w:r>
      <w:r>
        <w:t>line.</w:t>
      </w:r>
    </w:p>
    <w:p w:rsidR="003B4CA3" w:rsidRDefault="003B4CA3" w:rsidP="00960588">
      <w:pPr>
        <w:pStyle w:val="PPVBody"/>
      </w:pPr>
      <w:r>
        <w:t>Submitters preferred a higher built form, especially in the core area</w:t>
      </w:r>
      <w:r w:rsidR="007E5A37">
        <w:t xml:space="preserve"> and in Montague North</w:t>
      </w:r>
      <w:r>
        <w:t>.  Many, including Mr Sheppard, noted that the character of Montague has</w:t>
      </w:r>
      <w:r w:rsidR="00CB4A73">
        <w:t xml:space="preserve"> already</w:t>
      </w:r>
      <w:r>
        <w:t xml:space="preserve"> emerged </w:t>
      </w:r>
      <w:r w:rsidR="00CB4A73">
        <w:t xml:space="preserve">and is defined </w:t>
      </w:r>
      <w:r>
        <w:t xml:space="preserve">due to the extent of planning permits already issued that, if acted upon, would have a </w:t>
      </w:r>
      <w:r w:rsidR="00880E6C">
        <w:t xml:space="preserve">30 to </w:t>
      </w:r>
      <w:r>
        <w:t xml:space="preserve">40 storey high-rise typology. </w:t>
      </w:r>
      <w:r w:rsidR="00CB4A73">
        <w:t xml:space="preserve"> Mr Sheppard argued that “</w:t>
      </w:r>
      <w:r w:rsidR="00CB4A73" w:rsidRPr="00CB4A73">
        <w:rPr>
          <w:i/>
        </w:rPr>
        <w:t>the horse has already bolted</w:t>
      </w:r>
      <w:r w:rsidR="00CB4A73">
        <w:t>”</w:t>
      </w:r>
      <w:r w:rsidR="0034160D">
        <w:t>,</w:t>
      </w:r>
      <w:r w:rsidR="00CB4A73">
        <w:t xml:space="preserve"> and the general urban structure should be based upon what he considered will be the e</w:t>
      </w:r>
      <w:r w:rsidR="00F45F1E">
        <w:t>merging character of Montague.</w:t>
      </w:r>
    </w:p>
    <w:p w:rsidR="00944EB8" w:rsidRDefault="00944EB8" w:rsidP="00960588">
      <w:pPr>
        <w:pStyle w:val="PPVBody"/>
      </w:pPr>
      <w:r>
        <w:t xml:space="preserve">Mr Tweedie in opening </w:t>
      </w:r>
      <w:r w:rsidR="00AA5442">
        <w:t>noted that in relation to the existing permits and current applications, these must form part of the context and structure of</w:t>
      </w:r>
      <w:r w:rsidR="00880E6C">
        <w:t xml:space="preserve"> Fishermans Bend.  He and other landholders</w:t>
      </w:r>
      <w:r w:rsidR="00AA5442">
        <w:t xml:space="preserve"> noted the existing permits and their po</w:t>
      </w:r>
      <w:r w:rsidR="00880E6C">
        <w:t>tential to influence built form</w:t>
      </w:r>
      <w:r w:rsidR="00AA5442">
        <w:t xml:space="preserve"> </w:t>
      </w:r>
      <w:r w:rsidR="00880E6C">
        <w:t>should not</w:t>
      </w:r>
      <w:r w:rsidR="00AA5442">
        <w:t xml:space="preserve"> be ignored.</w:t>
      </w:r>
      <w:r w:rsidR="0034160D" w:rsidRPr="0034160D">
        <w:t xml:space="preserve"> </w:t>
      </w:r>
      <w:r w:rsidR="0034160D">
        <w:t>Mr Montebello challenged the notion that permits that have not been acted on can define an emerging character.</w:t>
      </w:r>
    </w:p>
    <w:p w:rsidR="00A862F8" w:rsidRDefault="00A862F8" w:rsidP="00A862F8">
      <w:pPr>
        <w:pStyle w:val="Heading4"/>
      </w:pPr>
      <w:r>
        <w:lastRenderedPageBreak/>
        <w:t>Discussion</w:t>
      </w:r>
    </w:p>
    <w:p w:rsidR="001E2798" w:rsidRDefault="001E2798" w:rsidP="00960588">
      <w:pPr>
        <w:pStyle w:val="PPVBody"/>
      </w:pPr>
      <w:r>
        <w:t xml:space="preserve">The Review Panel considers that in the main, the general urban structure of Montague is reasonable and can be achieved.  It has a variety of building heights and typologies that will provide </w:t>
      </w:r>
      <w:r w:rsidR="00EE04F5">
        <w:t xml:space="preserve">for </w:t>
      </w:r>
      <w:r>
        <w:t xml:space="preserve">an interesting and diverse built form outcome.  There is little doubt that Montague will </w:t>
      </w:r>
      <w:r w:rsidR="007609B8">
        <w:t xml:space="preserve">provide the majority </w:t>
      </w:r>
      <w:r>
        <w:t>of higher built form</w:t>
      </w:r>
      <w:r w:rsidR="0034160D">
        <w:t xml:space="preserve"> in Fishermans Bend</w:t>
      </w:r>
      <w:r>
        <w:t>, but given its abuttal with Southbank and the CBD of Melbourne, it will provide for a</w:t>
      </w:r>
      <w:r w:rsidR="004046E6">
        <w:t>n appropriate</w:t>
      </w:r>
      <w:r>
        <w:t xml:space="preserve"> transition to the lower built form of Sandridge</w:t>
      </w:r>
      <w:r w:rsidR="007E5A37">
        <w:t xml:space="preserve"> and other adjacent areas</w:t>
      </w:r>
      <w:r w:rsidR="00F45F1E">
        <w:t>.</w:t>
      </w:r>
    </w:p>
    <w:p w:rsidR="00A862F8" w:rsidRDefault="001E2798" w:rsidP="00960588">
      <w:pPr>
        <w:pStyle w:val="PPVBody"/>
      </w:pPr>
      <w:r>
        <w:t xml:space="preserve">The Review Panel considers that even if </w:t>
      </w:r>
      <w:r w:rsidRPr="001E2798">
        <w:rPr>
          <w:i/>
        </w:rPr>
        <w:t>“the</w:t>
      </w:r>
      <w:r>
        <w:t xml:space="preserve"> </w:t>
      </w:r>
      <w:r w:rsidRPr="001E2798">
        <w:rPr>
          <w:i/>
        </w:rPr>
        <w:t>horse has already bolted</w:t>
      </w:r>
      <w:r>
        <w:t xml:space="preserve">” in Montague and some of the current permits are acted upon, and others approved, </w:t>
      </w:r>
      <w:r w:rsidR="0034160D">
        <w:t xml:space="preserve">Montague </w:t>
      </w:r>
      <w:r>
        <w:t xml:space="preserve">will </w:t>
      </w:r>
      <w:r w:rsidR="0034160D">
        <w:t xml:space="preserve">have </w:t>
      </w:r>
      <w:r>
        <w:t>a varied built form outcome, albeit somewhat taller than proposed</w:t>
      </w:r>
      <w:r w:rsidR="00EE04F5">
        <w:t xml:space="preserve"> by this draft Amendment</w:t>
      </w:r>
      <w:r>
        <w:t>.</w:t>
      </w:r>
      <w:r w:rsidR="007A4B00">
        <w:t xml:space="preserve">  </w:t>
      </w:r>
      <w:r w:rsidR="00880E6C">
        <w:t xml:space="preserve">However, it does not mean that all building heights should revert back to </w:t>
      </w:r>
      <w:r w:rsidR="0034160D">
        <w:t xml:space="preserve">those currently in place under </w:t>
      </w:r>
      <w:r w:rsidR="00F45F1E">
        <w:t>Amendment GC50.</w:t>
      </w:r>
    </w:p>
    <w:p w:rsidR="00622AA3" w:rsidRDefault="00622AA3" w:rsidP="00622AA3">
      <w:pPr>
        <w:pStyle w:val="Heading2"/>
      </w:pPr>
      <w:bookmarkStart w:id="38" w:name="_Toc519849257"/>
      <w:r>
        <w:t>Proposed density</w:t>
      </w:r>
      <w:bookmarkEnd w:id="38"/>
    </w:p>
    <w:p w:rsidR="00622AA3" w:rsidRDefault="00622AA3" w:rsidP="00622AA3">
      <w:pPr>
        <w:pStyle w:val="PPVBody"/>
      </w:pPr>
      <w:r>
        <w:t>The proposed Floor Area Ratio (FAR) controls for the Montague core area are 6.1:1 with a minimum commercial FAR of 1.6:1.  The Montague non-core FAR controls are proposed at 3.6:1.</w:t>
      </w:r>
    </w:p>
    <w:p w:rsidR="00622AA3" w:rsidRPr="004645E1" w:rsidRDefault="00622AA3" w:rsidP="00622AA3">
      <w:pPr>
        <w:pStyle w:val="PPVBody"/>
      </w:pPr>
      <w:r w:rsidRPr="004645E1">
        <w:t xml:space="preserve">For reasons outlined in the Overview Report, the Review Panel does not support the FARs, and recommends that they be replaced with a dwelling density control.  Chapter 7.8 of the Overview Report explains the </w:t>
      </w:r>
      <w:r w:rsidR="004046E6">
        <w:t>rationale</w:t>
      </w:r>
      <w:r w:rsidRPr="004645E1">
        <w:t xml:space="preserve"> for the Review Panel’s recommended dwelling densities in each precinct.  They are based on the FARs, translated to dwelling densities.  The starting point for </w:t>
      </w:r>
      <w:r>
        <w:t xml:space="preserve">Montague </w:t>
      </w:r>
      <w:r w:rsidRPr="004645E1">
        <w:t xml:space="preserve">is a dwelling density of </w:t>
      </w:r>
      <w:r w:rsidR="0034160D">
        <w:t>400</w:t>
      </w:r>
      <w:r w:rsidRPr="004645E1">
        <w:t xml:space="preserve"> dwellings per hectare</w:t>
      </w:r>
      <w:r>
        <w:t xml:space="preserve"> in the core area and </w:t>
      </w:r>
      <w:r w:rsidR="0034160D">
        <w:t xml:space="preserve">263 </w:t>
      </w:r>
      <w:r>
        <w:t>dwellings per hectares in the non-core</w:t>
      </w:r>
      <w:r w:rsidRPr="004645E1">
        <w:t xml:space="preserve"> (see Table 16 in Chapter 7.8(ii) of the Overview Report).</w:t>
      </w:r>
    </w:p>
    <w:p w:rsidR="00622AA3" w:rsidRPr="004645E1" w:rsidRDefault="00622AA3" w:rsidP="00622AA3">
      <w:pPr>
        <w:pStyle w:val="PPVBody"/>
      </w:pPr>
      <w:r w:rsidRPr="004645E1">
        <w:t>The Review Panel found that:</w:t>
      </w:r>
    </w:p>
    <w:p w:rsidR="00622AA3" w:rsidRPr="004645E1" w:rsidRDefault="00622AA3" w:rsidP="00622AA3">
      <w:pPr>
        <w:pStyle w:val="PPVBullet1"/>
      </w:pPr>
      <w:r w:rsidRPr="004645E1">
        <w:t>the target population of 80,000 for Fishermans Bend is too low, given its status as a State significant urban renewal area and its potential to provide a greater contribution to he</w:t>
      </w:r>
      <w:r w:rsidR="00F45F1E">
        <w:t>lp cater for Melbourne’s growth</w:t>
      </w:r>
    </w:p>
    <w:p w:rsidR="00622AA3" w:rsidRPr="004645E1" w:rsidRDefault="00622AA3" w:rsidP="00622AA3">
      <w:pPr>
        <w:pStyle w:val="PPVBullet1"/>
      </w:pPr>
      <w:r w:rsidRPr="004645E1">
        <w:t>planning for Fishermans Bend should proceed on the basis of a target population in the ran</w:t>
      </w:r>
      <w:r w:rsidR="00F45F1E">
        <w:t>ge of 80,000 to 120,000 by 2050</w:t>
      </w:r>
    </w:p>
    <w:p w:rsidR="00622AA3" w:rsidRPr="004645E1" w:rsidRDefault="00622AA3" w:rsidP="00622AA3">
      <w:pPr>
        <w:pStyle w:val="PPVBullet1"/>
      </w:pPr>
      <w:r w:rsidRPr="004645E1">
        <w:t>all of the preferred typologies can deliver residential densities of at least 4:1</w:t>
      </w:r>
    </w:p>
    <w:p w:rsidR="00622AA3" w:rsidRPr="004645E1" w:rsidRDefault="00622AA3" w:rsidP="00622AA3">
      <w:pPr>
        <w:pStyle w:val="PPVBullet1"/>
      </w:pPr>
      <w:r w:rsidRPr="004645E1">
        <w:t>there is scope to increase the densities without compromising the building typologies and preferred characters, with the possible exception of Lorimer, Montague core and Sandridge core (where the proposed densitie</w:t>
      </w:r>
      <w:r w:rsidR="00F45F1E">
        <w:t>s are already higher than 4:1).</w:t>
      </w:r>
    </w:p>
    <w:p w:rsidR="00622AA3" w:rsidRPr="004645E1" w:rsidRDefault="00622AA3" w:rsidP="00622AA3">
      <w:pPr>
        <w:pStyle w:val="PPVBody"/>
      </w:pPr>
      <w:r w:rsidRPr="004645E1">
        <w:t>These findings are discussed in detail in Chapters 6 and 7 of the Overview Report.</w:t>
      </w:r>
    </w:p>
    <w:p w:rsidR="00622AA3" w:rsidRPr="004645E1" w:rsidRDefault="00622AA3" w:rsidP="00622AA3">
      <w:pPr>
        <w:pStyle w:val="PPVBody"/>
      </w:pPr>
      <w:r w:rsidRPr="004645E1">
        <w:t>This raises the question of by how much the densities for each</w:t>
      </w:r>
      <w:r w:rsidR="00F45F1E">
        <w:t xml:space="preserve"> precinct should be increased.</w:t>
      </w:r>
    </w:p>
    <w:p w:rsidR="00622AA3" w:rsidRPr="004645E1" w:rsidRDefault="00622AA3" w:rsidP="00622AA3">
      <w:pPr>
        <w:pStyle w:val="PPVBody"/>
      </w:pPr>
      <w:r w:rsidRPr="004645E1">
        <w:t xml:space="preserve">For </w:t>
      </w:r>
      <w:r>
        <w:t>Montague</w:t>
      </w:r>
      <w:r w:rsidRPr="004645E1">
        <w:t xml:space="preserve">, the Review Panel considers that a dwelling density of </w:t>
      </w:r>
      <w:r>
        <w:t>440</w:t>
      </w:r>
      <w:r w:rsidRPr="004645E1">
        <w:t xml:space="preserve"> dwellings per hectare</w:t>
      </w:r>
      <w:r>
        <w:t xml:space="preserve"> in the core are</w:t>
      </w:r>
      <w:r w:rsidR="00F66022">
        <w:t>a and 290 dwellings per hectare</w:t>
      </w:r>
      <w:r>
        <w:t xml:space="preserve"> in the non-core</w:t>
      </w:r>
      <w:r w:rsidR="00CB2CBD">
        <w:t xml:space="preserve"> is appropriate. </w:t>
      </w:r>
      <w:r w:rsidR="00F66022">
        <w:t xml:space="preserve"> </w:t>
      </w:r>
      <w:r w:rsidR="00CB2CBD">
        <w:t xml:space="preserve">This represents </w:t>
      </w:r>
      <w:r>
        <w:t>a modest 10 per cent increase</w:t>
      </w:r>
      <w:r w:rsidR="00CB2CBD">
        <w:t xml:space="preserve"> in the densities proposed by the Minister in the Part C controls</w:t>
      </w:r>
      <w:r w:rsidRPr="004645E1">
        <w:t>.  This is because:</w:t>
      </w:r>
    </w:p>
    <w:p w:rsidR="00622AA3" w:rsidRPr="004645E1" w:rsidRDefault="00622AA3" w:rsidP="00622AA3">
      <w:pPr>
        <w:pStyle w:val="PPVBullet1"/>
      </w:pPr>
      <w:r>
        <w:lastRenderedPageBreak/>
        <w:t>Montague provides a natural transition from the built form of the Melbourne CBD and Southbank, and has a number of areas where a taller built form typology is encouraged due to few amenity impacts</w:t>
      </w:r>
    </w:p>
    <w:p w:rsidR="00622AA3" w:rsidRPr="004645E1" w:rsidRDefault="00622AA3" w:rsidP="00622AA3">
      <w:pPr>
        <w:pStyle w:val="PPVBullet1"/>
      </w:pPr>
      <w:r w:rsidRPr="004645E1">
        <w:t xml:space="preserve">the successful renewal of </w:t>
      </w:r>
      <w:r>
        <w:t xml:space="preserve">Montague </w:t>
      </w:r>
      <w:r w:rsidRPr="004645E1">
        <w:t xml:space="preserve">is </w:t>
      </w:r>
      <w:r>
        <w:t xml:space="preserve">not </w:t>
      </w:r>
      <w:r w:rsidRPr="004645E1">
        <w:t xml:space="preserve">particularly dependent on </w:t>
      </w:r>
      <w:r>
        <w:t>public transport</w:t>
      </w:r>
      <w:r w:rsidR="00CB2CBD">
        <w:t>,</w:t>
      </w:r>
      <w:r>
        <w:t xml:space="preserve"> as it is the only Precinct that is currently well served</w:t>
      </w:r>
      <w:r w:rsidR="00CB2CBD">
        <w:t>.  It can therefore accommodate higher densities than some other Precincts (including a modest 10 per cent increase)</w:t>
      </w:r>
    </w:p>
    <w:p w:rsidR="00CB2CBD" w:rsidRDefault="00CB2CBD" w:rsidP="00CB2CBD">
      <w:pPr>
        <w:pStyle w:val="PPVBullet1"/>
      </w:pPr>
      <w:r>
        <w:t xml:space="preserve">a more substantial increase in density is not considered appropriate, because the densities in Montague are already relatively high, and </w:t>
      </w:r>
      <w:r w:rsidRPr="004645E1">
        <w:t>if the live permit applications for</w:t>
      </w:r>
      <w:r>
        <w:t xml:space="preserve"> Montague</w:t>
      </w:r>
      <w:r w:rsidRPr="004645E1">
        <w:t xml:space="preserve"> were approved and built, the dwelling targets for </w:t>
      </w:r>
      <w:r>
        <w:t xml:space="preserve">Montague </w:t>
      </w:r>
      <w:r w:rsidRPr="004645E1">
        <w:t xml:space="preserve">would be </w:t>
      </w:r>
      <w:r>
        <w:t xml:space="preserve">significantly taken up </w:t>
      </w:r>
      <w:r w:rsidRPr="004645E1">
        <w:t>(as demonstrated by the Minister’s SIN 15</w:t>
      </w:r>
      <w:r w:rsidRPr="004645E1">
        <w:rPr>
          <w:rStyle w:val="FootnoteReference"/>
        </w:rPr>
        <w:footnoteReference w:id="10"/>
      </w:r>
      <w:r>
        <w:t>), although there is room</w:t>
      </w:r>
      <w:r w:rsidRPr="004645E1">
        <w:t xml:space="preserve"> for </w:t>
      </w:r>
      <w:r>
        <w:t xml:space="preserve">some </w:t>
      </w:r>
      <w:r w:rsidRPr="004645E1">
        <w:t>further residential development</w:t>
      </w:r>
      <w:r>
        <w:t>.</w:t>
      </w:r>
    </w:p>
    <w:p w:rsidR="00622AA3" w:rsidRDefault="00622AA3" w:rsidP="00622AA3">
      <w:pPr>
        <w:pStyle w:val="PPVBody"/>
      </w:pPr>
      <w:r w:rsidRPr="004645E1">
        <w:t xml:space="preserve">The Review Panel therefore recommends that the dwelling density for </w:t>
      </w:r>
      <w:r>
        <w:t>Montague be set at 440</w:t>
      </w:r>
      <w:r w:rsidRPr="004645E1">
        <w:t xml:space="preserve"> dwellings per hectare</w:t>
      </w:r>
      <w:r>
        <w:t xml:space="preserve"> in the core area and 290 dwellings per hectares in the non-core.</w:t>
      </w:r>
    </w:p>
    <w:p w:rsidR="00A462FE" w:rsidRDefault="00A862F8" w:rsidP="00A862F8">
      <w:pPr>
        <w:pStyle w:val="Heading2"/>
      </w:pPr>
      <w:bookmarkStart w:id="39" w:name="_Toc519849258"/>
      <w:r>
        <w:t>Achieving a varied building typology</w:t>
      </w:r>
      <w:bookmarkEnd w:id="39"/>
    </w:p>
    <w:p w:rsidR="00A862F8" w:rsidRDefault="00A862F8" w:rsidP="00A862F8">
      <w:pPr>
        <w:pStyle w:val="Heading4"/>
      </w:pPr>
      <w:r>
        <w:t xml:space="preserve">Submissions and evidence </w:t>
      </w:r>
    </w:p>
    <w:p w:rsidR="00B31A29" w:rsidRDefault="00B31A29" w:rsidP="00A862F8">
      <w:pPr>
        <w:pStyle w:val="PPVBody"/>
      </w:pPr>
      <w:r>
        <w:t xml:space="preserve">Port Phillip argued that Montague could be enhanced by having a </w:t>
      </w:r>
      <w:r w:rsidR="00CB2CBD">
        <w:t xml:space="preserve">precinct </w:t>
      </w:r>
      <w:r>
        <w:t xml:space="preserve">specific DDO (which the Review Panel has already agreed to in </w:t>
      </w:r>
      <w:r w:rsidR="00880E6C">
        <w:t>the Overview Report</w:t>
      </w:r>
      <w:r>
        <w:t>) that includes statement</w:t>
      </w:r>
      <w:r w:rsidR="00880E6C">
        <w:t>s</w:t>
      </w:r>
      <w:r>
        <w:t xml:space="preserve"> relating to the preferred built form outcome and architectural typologies for each neighbourhood within the Precinct</w:t>
      </w:r>
      <w:r w:rsidR="003223A2">
        <w:rPr>
          <w:rStyle w:val="FootnoteReference"/>
        </w:rPr>
        <w:footnoteReference w:id="11"/>
      </w:r>
      <w:r w:rsidR="00F66022">
        <w:t xml:space="preserve"> (DM3A</w:t>
      </w:r>
      <w:r>
        <w:t xml:space="preserve">, Figure 3).  </w:t>
      </w:r>
      <w:r w:rsidR="005E7A52">
        <w:t xml:space="preserve">Further, Port Phillip strongly advocated for a ‘tooth and gap’ typology for </w:t>
      </w:r>
      <w:r w:rsidR="00CB2CBD">
        <w:t xml:space="preserve">the north side of </w:t>
      </w:r>
      <w:r w:rsidR="005E7A52">
        <w:t>Buckhurst Street.</w:t>
      </w:r>
      <w:r w:rsidR="00DD2D78">
        <w:t xml:space="preserve">  It said:</w:t>
      </w:r>
    </w:p>
    <w:p w:rsidR="00DD2D78" w:rsidRDefault="00DD2D78" w:rsidP="00DD2D78">
      <w:pPr>
        <w:pStyle w:val="PPVQuote"/>
      </w:pPr>
      <w:r>
        <w:t>Consideration should be given to a different approach to the traditional street wall and tower setback approach for Buckhurst Street between Montague Street and Ferrars Street to create a diversity of heights at the street interface and maximises sunlight penetration.</w:t>
      </w:r>
    </w:p>
    <w:p w:rsidR="00152469" w:rsidRDefault="00CB2CBD" w:rsidP="00152469">
      <w:pPr>
        <w:pStyle w:val="PPVBody"/>
      </w:pPr>
      <w:r>
        <w:t xml:space="preserve">Landowner </w:t>
      </w:r>
      <w:r w:rsidR="00152469">
        <w:t xml:space="preserve">submissions </w:t>
      </w:r>
      <w:r w:rsidR="007609B8">
        <w:t>pred</w:t>
      </w:r>
      <w:r w:rsidR="00C06788">
        <w:t xml:space="preserve">ominantly </w:t>
      </w:r>
      <w:r w:rsidR="00152469">
        <w:t xml:space="preserve">argued that the controls were overly prescriptive and contrary to performance based planning, and would act to stifle architectural expression, innovation and site responsive design. </w:t>
      </w:r>
      <w:r w:rsidR="003E27EC">
        <w:t xml:space="preserve"> </w:t>
      </w:r>
      <w:r w:rsidR="00152469">
        <w:t>Submitters generally argued in favour of discretionary planning controls</w:t>
      </w:r>
      <w:r w:rsidR="00880E6C">
        <w:t xml:space="preserve"> with a higher built form typology</w:t>
      </w:r>
      <w:r w:rsidR="00152469">
        <w:t>.</w:t>
      </w:r>
      <w:r w:rsidR="003E27EC">
        <w:t xml:space="preserve"> </w:t>
      </w:r>
      <w:r w:rsidR="00152469">
        <w:t xml:space="preserve"> There was some support for tower forms in Montague North and lower forms to the south, however </w:t>
      </w:r>
      <w:r>
        <w:t>landowners submitted that</w:t>
      </w:r>
      <w:r w:rsidR="00152469">
        <w:t xml:space="preserve"> the proposed heights in the draft Amendment</w:t>
      </w:r>
      <w:r>
        <w:t xml:space="preserve"> were too low</w:t>
      </w:r>
      <w:r w:rsidR="00F45F1E">
        <w:t>.</w:t>
      </w:r>
    </w:p>
    <w:p w:rsidR="00555CD4" w:rsidRDefault="00555CD4" w:rsidP="00152469">
      <w:pPr>
        <w:pStyle w:val="PPVBody"/>
      </w:pPr>
      <w:r>
        <w:t xml:space="preserve">Mr McGurn gave evidence that it is imperative that opportunities in Montague be maximised due to </w:t>
      </w:r>
      <w:r w:rsidR="00CB2CBD">
        <w:t xml:space="preserve">its </w:t>
      </w:r>
      <w:r>
        <w:t>proximity to the CBD and that the planning controls should assist to deliver optimal opportunity for delivering on Government outcomes</w:t>
      </w:r>
      <w:r w:rsidR="00CB2CBD">
        <w:t>, including playing a greater role in accommodating Melbourne’s growth</w:t>
      </w:r>
      <w:r w:rsidR="00F45F1E">
        <w:t>.</w:t>
      </w:r>
    </w:p>
    <w:p w:rsidR="00555CD4" w:rsidRDefault="00555CD4" w:rsidP="00152469">
      <w:pPr>
        <w:pStyle w:val="PPVBody"/>
      </w:pPr>
      <w:r>
        <w:t xml:space="preserve">Port Phillip disagreed entirely with that proposition and argued </w:t>
      </w:r>
      <w:r w:rsidR="00067EF5">
        <w:t>it would be a ‘lost’ opportunity if the existing controls were allowed to continue.</w:t>
      </w:r>
    </w:p>
    <w:p w:rsidR="00A862F8" w:rsidRDefault="00A862F8" w:rsidP="00A862F8">
      <w:pPr>
        <w:pStyle w:val="Heading4"/>
      </w:pPr>
      <w:r>
        <w:lastRenderedPageBreak/>
        <w:t>Discussion</w:t>
      </w:r>
    </w:p>
    <w:p w:rsidR="00A862F8" w:rsidRDefault="000E0107" w:rsidP="00960588">
      <w:pPr>
        <w:pStyle w:val="PPVBody"/>
      </w:pPr>
      <w:r>
        <w:t xml:space="preserve">The Review Panel generally supports the built form controls for Montague, and considers that they will deliver building typologies and diverse built form outcomes sought through the Vision and the draft Framework.  </w:t>
      </w:r>
      <w:r w:rsidR="00880E6C">
        <w:t xml:space="preserve">Through its Overview Report, the Review Panel has made significant </w:t>
      </w:r>
      <w:r>
        <w:t xml:space="preserve">changes </w:t>
      </w:r>
      <w:r w:rsidR="00880E6C">
        <w:t xml:space="preserve">to </w:t>
      </w:r>
      <w:r>
        <w:t xml:space="preserve">the DDOs to better articulate </w:t>
      </w:r>
      <w:r w:rsidR="00880E6C">
        <w:t>the built form outcomes</w:t>
      </w:r>
      <w:r>
        <w:t>, preferred typologies and preferred character sought for each precinct.  The Review Panel is confident that these changes will assist in delivering the varied building typology sought in Montague</w:t>
      </w:r>
      <w:r w:rsidR="00F66022">
        <w:t>.</w:t>
      </w:r>
    </w:p>
    <w:p w:rsidR="000E0107" w:rsidRDefault="000E0107" w:rsidP="000E0107">
      <w:pPr>
        <w:pStyle w:val="PPVBody"/>
      </w:pPr>
      <w:r>
        <w:t xml:space="preserve">One of the features of Montague is its </w:t>
      </w:r>
      <w:r w:rsidRPr="00591580">
        <w:t>gritty</w:t>
      </w:r>
      <w:r>
        <w:t xml:space="preserve"> urban built form, with bluestone lanes and heritage buildings.  These should be celebrated as being key characteristics and defining features of Montague.  New development should work </w:t>
      </w:r>
      <w:r w:rsidR="00F66022">
        <w:t xml:space="preserve">to support </w:t>
      </w:r>
      <w:r>
        <w:t>this character to ensure and enhance a diverse and interesting built form outcome.</w:t>
      </w:r>
    </w:p>
    <w:p w:rsidR="00A862F8" w:rsidRDefault="00362A22" w:rsidP="00960588">
      <w:pPr>
        <w:pStyle w:val="PPVBody"/>
      </w:pPr>
      <w:r>
        <w:t>The Review Panel notes that the revised building typology (M</w:t>
      </w:r>
      <w:r w:rsidR="00880E6C">
        <w:t>ap 1 in revised DDO, D307) shows some changes, which it supports.</w:t>
      </w:r>
    </w:p>
    <w:p w:rsidR="00222A51" w:rsidRPr="00445060" w:rsidRDefault="00A862F8" w:rsidP="00B67CC7">
      <w:pPr>
        <w:pStyle w:val="Heading2"/>
      </w:pPr>
      <w:bookmarkStart w:id="40" w:name="_Toc519849259"/>
      <w:r>
        <w:t>Building heights</w:t>
      </w:r>
      <w:bookmarkEnd w:id="40"/>
    </w:p>
    <w:p w:rsidR="00A862F8" w:rsidRDefault="00A862F8" w:rsidP="00A862F8">
      <w:pPr>
        <w:pStyle w:val="Heading4"/>
      </w:pPr>
      <w:r>
        <w:t xml:space="preserve">Submissions and evidence </w:t>
      </w:r>
    </w:p>
    <w:p w:rsidR="000E0107" w:rsidRDefault="000E0107" w:rsidP="000E0107">
      <w:pPr>
        <w:pStyle w:val="PPVBody"/>
      </w:pPr>
      <w:r>
        <w:t>The Minister submitted that the varied building heights proposed for Montague were necessary to maintain a clear distinction between the higher built form in Montague North and the lower built form in Montague South, as well as the varied building typologies and preferred character envisaged for Montague through the Vision and the draft Framework.</w:t>
      </w:r>
    </w:p>
    <w:p w:rsidR="0060115E" w:rsidRDefault="0060115E" w:rsidP="0060115E">
      <w:pPr>
        <w:pStyle w:val="PPVBody"/>
      </w:pPr>
      <w:r>
        <w:t>Port Phillip argued for lower heights in the following areas:</w:t>
      </w:r>
    </w:p>
    <w:p w:rsidR="0060115E" w:rsidRDefault="0060115E" w:rsidP="0060115E">
      <w:pPr>
        <w:pStyle w:val="PPVBullet1"/>
      </w:pPr>
      <w:r>
        <w:t>scaling down from 30 to 12 storeys on the south side of Gladstone Street, from Montague to Kerr Streets (to create a transition through to Montague Park)</w:t>
      </w:r>
    </w:p>
    <w:p w:rsidR="0060115E" w:rsidRDefault="0060115E" w:rsidP="0060115E">
      <w:pPr>
        <w:pStyle w:val="PPVBullet1"/>
      </w:pPr>
      <w:r>
        <w:t>from 20 to 12 to 8 storeys on the north side of the Buckhurst Street spine (to prevent shadow along the open space spine)</w:t>
      </w:r>
    </w:p>
    <w:p w:rsidR="0060115E" w:rsidRDefault="0060115E" w:rsidP="0060115E">
      <w:pPr>
        <w:pStyle w:val="PPVBullet1"/>
      </w:pPr>
      <w:r>
        <w:t xml:space="preserve">from 24 and unlimited to 12 to 20 storeys at 400 </w:t>
      </w:r>
      <w:r w:rsidR="00C06788">
        <w:t xml:space="preserve">– 430 </w:t>
      </w:r>
      <w:r>
        <w:t>City Road (to prevent overshadowing</w:t>
      </w:r>
      <w:r w:rsidR="00AF51C7">
        <w:t xml:space="preserve"> of the adjacent South Melbourne area</w:t>
      </w:r>
      <w:r>
        <w:t>).</w:t>
      </w:r>
    </w:p>
    <w:p w:rsidR="0060115E" w:rsidRDefault="000E0107" w:rsidP="0060115E">
      <w:pPr>
        <w:pStyle w:val="PPVBody"/>
      </w:pPr>
      <w:r>
        <w:t xml:space="preserve">Many of the existing permits along Buckhurst Street allow </w:t>
      </w:r>
      <w:r w:rsidR="00F66022">
        <w:t>3</w:t>
      </w:r>
      <w:r>
        <w:t xml:space="preserve">0 storeys.  </w:t>
      </w:r>
      <w:r w:rsidR="0060115E">
        <w:t xml:space="preserve">When asked by the Review Panel about the extent of change proposed by </w:t>
      </w:r>
      <w:r>
        <w:t xml:space="preserve">Port Phillip </w:t>
      </w:r>
      <w:r w:rsidR="0060115E">
        <w:t>in relation to the Buckhurst Street spine</w:t>
      </w:r>
      <w:r>
        <w:t>, and whether this could be achieved given the existing permits</w:t>
      </w:r>
      <w:r w:rsidR="0060115E">
        <w:t xml:space="preserve">, Mr Montebello responded </w:t>
      </w:r>
      <w:r>
        <w:t xml:space="preserve">that </w:t>
      </w:r>
      <w:r w:rsidR="0060115E">
        <w:t>there would need to be good landholder collaboration</w:t>
      </w:r>
      <w:r>
        <w:t xml:space="preserve">.  He noted </w:t>
      </w:r>
      <w:r w:rsidR="0060115E">
        <w:t xml:space="preserve">that </w:t>
      </w:r>
      <w:r w:rsidR="00AF51C7">
        <w:t>“</w:t>
      </w:r>
      <w:r w:rsidR="0060115E" w:rsidRPr="00AF51C7">
        <w:rPr>
          <w:i/>
        </w:rPr>
        <w:t>permits do not last forever</w:t>
      </w:r>
      <w:r w:rsidR="00AF51C7">
        <w:t>”</w:t>
      </w:r>
      <w:r w:rsidR="0060115E">
        <w:t>.  He argued this spine is the critical area of Montague South and it provides the opportunity to exploit the FAU to achieve greater heights</w:t>
      </w:r>
      <w:r>
        <w:t xml:space="preserve"> in some areas, with lower built form in others (the ‘tooth and gap’ approach)</w:t>
      </w:r>
      <w:r w:rsidR="0060115E">
        <w:t xml:space="preserve">.  He observed </w:t>
      </w:r>
      <w:r>
        <w:t xml:space="preserve">Port Phillip </w:t>
      </w:r>
      <w:r w:rsidR="0060115E">
        <w:t xml:space="preserve">was putting its efforts into </w:t>
      </w:r>
      <w:r w:rsidR="00AF51C7">
        <w:t xml:space="preserve">place making </w:t>
      </w:r>
      <w:r>
        <w:t xml:space="preserve">in </w:t>
      </w:r>
      <w:r w:rsidR="0060115E">
        <w:t xml:space="preserve">this area, and </w:t>
      </w:r>
      <w:r>
        <w:t xml:space="preserve">was </w:t>
      </w:r>
      <w:r w:rsidR="0060115E">
        <w:t xml:space="preserve">not </w:t>
      </w:r>
      <w:r>
        <w:t xml:space="preserve">seeking any substantial changes in </w:t>
      </w:r>
      <w:r w:rsidR="0060115E">
        <w:t>Montague North</w:t>
      </w:r>
      <w:r w:rsidR="00AF51C7">
        <w:t xml:space="preserve"> in terms of height</w:t>
      </w:r>
      <w:r w:rsidR="00F45F1E">
        <w:t>.</w:t>
      </w:r>
    </w:p>
    <w:p w:rsidR="003E27EC" w:rsidRDefault="003E27EC" w:rsidP="003E27EC">
      <w:pPr>
        <w:pStyle w:val="PPVBody"/>
      </w:pPr>
      <w:r>
        <w:t>Building heights were</w:t>
      </w:r>
      <w:r w:rsidR="00880E6C">
        <w:t xml:space="preserve"> the focus of many submissions in</w:t>
      </w:r>
      <w:r>
        <w:t xml:space="preserve"> Montague.  The majority of these submitted that heights should be </w:t>
      </w:r>
      <w:r w:rsidR="00880E6C">
        <w:t xml:space="preserve">as they currently stand </w:t>
      </w:r>
      <w:r w:rsidR="008F616B">
        <w:t xml:space="preserve">under </w:t>
      </w:r>
      <w:r w:rsidR="00880E6C">
        <w:t>Amendment GC50</w:t>
      </w:r>
      <w:r w:rsidR="008F616B">
        <w:t>,</w:t>
      </w:r>
      <w:r w:rsidR="00880E6C">
        <w:t xml:space="preserve"> but </w:t>
      </w:r>
      <w:r>
        <w:t xml:space="preserve">expressed in discretionary terms.  It was argued that changes in heights from </w:t>
      </w:r>
      <w:r w:rsidR="00880E6C">
        <w:t xml:space="preserve">the </w:t>
      </w:r>
      <w:r>
        <w:t xml:space="preserve">interim controls have not been justified and do not appear to be able to achieve projected population and job targets, creating a risk of underdevelopment.  Many argued strongly that </w:t>
      </w:r>
      <w:r>
        <w:lastRenderedPageBreak/>
        <w:t>existing permits should be recognised under provisional arrangements</w:t>
      </w:r>
      <w:r w:rsidR="008F616B">
        <w:t>, and should influence the proposed heights in Montague</w:t>
      </w:r>
      <w:r w:rsidR="00F45F1E">
        <w:t>.</w:t>
      </w:r>
    </w:p>
    <w:p w:rsidR="00A862F8" w:rsidRDefault="00A862F8" w:rsidP="00A862F8">
      <w:pPr>
        <w:pStyle w:val="Heading4"/>
      </w:pPr>
      <w:r>
        <w:t>Discussion</w:t>
      </w:r>
    </w:p>
    <w:p w:rsidR="001353C6" w:rsidRDefault="001353C6" w:rsidP="001353C6">
      <w:pPr>
        <w:pStyle w:val="PPVBody"/>
      </w:pPr>
      <w:r>
        <w:t xml:space="preserve">The Review Panel </w:t>
      </w:r>
      <w:r w:rsidR="0060115E">
        <w:t xml:space="preserve">supports </w:t>
      </w:r>
      <w:r>
        <w:t xml:space="preserve">the revised building heights (Map 2 in revised DDO, D307) </w:t>
      </w:r>
      <w:r w:rsidR="0060115E">
        <w:t xml:space="preserve">that indicate some </w:t>
      </w:r>
      <w:r>
        <w:t>changes, including:</w:t>
      </w:r>
    </w:p>
    <w:p w:rsidR="001353C6" w:rsidRDefault="008F616B" w:rsidP="001353C6">
      <w:pPr>
        <w:pStyle w:val="PPVBullet1"/>
      </w:pPr>
      <w:r>
        <w:t xml:space="preserve">Increase </w:t>
      </w:r>
      <w:r w:rsidR="001353C6">
        <w:t xml:space="preserve">in height in Area M6 along City Road up to Ferrars Street (from </w:t>
      </w:r>
      <w:r w:rsidR="00AF51C7">
        <w:t>four</w:t>
      </w:r>
      <w:r w:rsidR="001353C6">
        <w:t xml:space="preserve"> storey mandatory to </w:t>
      </w:r>
      <w:r w:rsidR="00AF51C7">
        <w:t>six</w:t>
      </w:r>
      <w:r w:rsidR="001353C6">
        <w:t xml:space="preserve"> storey mandatory)</w:t>
      </w:r>
      <w:r w:rsidR="00AF51C7">
        <w:t>.  The six storey mandatory is appropriate given the role and function of City Road and the transition down from the eight storey M4 area.</w:t>
      </w:r>
    </w:p>
    <w:p w:rsidR="001353C6" w:rsidRDefault="008F616B" w:rsidP="001353C6">
      <w:pPr>
        <w:pStyle w:val="PPVBullet1"/>
      </w:pPr>
      <w:r>
        <w:t>I</w:t>
      </w:r>
      <w:r w:rsidR="001353C6">
        <w:t>ncrease in height on the extended corner of Thistle</w:t>
      </w:r>
      <w:r w:rsidR="00F73890">
        <w:t>th</w:t>
      </w:r>
      <w:r w:rsidR="001353C6">
        <w:t>waite and Montague Streets (from 12 to 18 storeys)</w:t>
      </w:r>
      <w:r w:rsidR="00AF51C7">
        <w:t xml:space="preserve"> given its prominent position and landholdings and that it enables a range of outcomes, including laneways</w:t>
      </w:r>
      <w:r w:rsidR="00A82570">
        <w:t>.</w:t>
      </w:r>
    </w:p>
    <w:p w:rsidR="00A862F8" w:rsidRDefault="00F66022" w:rsidP="00F66022">
      <w:pPr>
        <w:pStyle w:val="PPVBody"/>
      </w:pPr>
      <w:r>
        <w:t xml:space="preserve">As the Review Panel supports the whole of the Montague North Park site to be set aside for public open space, it does not support any heights in this area.  However, if this recommendation is not supported, then the revised the </w:t>
      </w:r>
      <w:r w:rsidR="008F616B">
        <w:t xml:space="preserve">six </w:t>
      </w:r>
      <w:r w:rsidR="001353C6">
        <w:t xml:space="preserve">storey </w:t>
      </w:r>
      <w:r w:rsidR="008F616B">
        <w:t xml:space="preserve">height </w:t>
      </w:r>
      <w:r w:rsidR="001353C6">
        <w:t xml:space="preserve">along the northern part of the proposed Montague North Park </w:t>
      </w:r>
      <w:r w:rsidR="00870986">
        <w:t xml:space="preserve">(no change) </w:t>
      </w:r>
      <w:r w:rsidR="001353C6">
        <w:t>but ‘none specified’ in the top north west corner (previously 24 storeys)</w:t>
      </w:r>
      <w:r>
        <w:t xml:space="preserve"> is supported</w:t>
      </w:r>
      <w:r w:rsidR="001353C6">
        <w:t>.</w:t>
      </w:r>
    </w:p>
    <w:p w:rsidR="0060115E" w:rsidRDefault="0060115E" w:rsidP="0060115E">
      <w:pPr>
        <w:pStyle w:val="PPVBody"/>
      </w:pPr>
      <w:r>
        <w:t xml:space="preserve">Montague </w:t>
      </w:r>
      <w:r w:rsidR="00AF51C7">
        <w:t>is</w:t>
      </w:r>
      <w:r>
        <w:t xml:space="preserve"> the area that will develop early in the evolution of Fishermans Bend and will, </w:t>
      </w:r>
      <w:r w:rsidR="008F616B">
        <w:t>together with the southern part of Lorimer</w:t>
      </w:r>
      <w:r>
        <w:t xml:space="preserve">, have the highest and most likely, densest built form (through the existing permits, any live applications approved and the revised planning controls).  This </w:t>
      </w:r>
      <w:r w:rsidR="00AF51C7">
        <w:t xml:space="preserve">may </w:t>
      </w:r>
      <w:r>
        <w:t xml:space="preserve">result </w:t>
      </w:r>
      <w:r w:rsidR="00AF51C7">
        <w:t xml:space="preserve">in a dense urban area, but this will not be </w:t>
      </w:r>
      <w:r w:rsidR="00F66022">
        <w:t>in</w:t>
      </w:r>
      <w:r>
        <w:t xml:space="preserve">appropriate given its context </w:t>
      </w:r>
      <w:r w:rsidR="008F616B">
        <w:t xml:space="preserve">in relation </w:t>
      </w:r>
      <w:r>
        <w:t xml:space="preserve">to the Melbourne CBD, Southbank and to a lesser extent, Docklands.  However, it should not </w:t>
      </w:r>
      <w:r w:rsidR="00F66022">
        <w:t>maintain</w:t>
      </w:r>
      <w:r>
        <w:t xml:space="preserve"> unlimited </w:t>
      </w:r>
      <w:r w:rsidR="00F66022">
        <w:t xml:space="preserve">or 30 to 40 storey </w:t>
      </w:r>
      <w:r>
        <w:t>height</w:t>
      </w:r>
      <w:r w:rsidR="00F66022">
        <w:t>s</w:t>
      </w:r>
      <w:r>
        <w:t>, nor should the more sensitive are</w:t>
      </w:r>
      <w:r w:rsidR="009A63AF">
        <w:t>as of Montague be compromised.</w:t>
      </w:r>
    </w:p>
    <w:p w:rsidR="000E0107" w:rsidRDefault="000E0107" w:rsidP="0060115E">
      <w:pPr>
        <w:pStyle w:val="PPVBody"/>
      </w:pPr>
      <w:r>
        <w:t>Modelling undertaken by Ms Hodyl and others demonstrates that the proposed heights are capable of accommodating the modest increase in densities in Montague recommended by the Review Panel</w:t>
      </w:r>
      <w:r w:rsidR="008F616B">
        <w:t>, with some room left for social housing uplift</w:t>
      </w:r>
      <w:r>
        <w:t xml:space="preserve">.  The heights provide for an appropriate transition from the CBD and Southbank to the lower density areas of South Melbourne and Port Melbourne, and the variation in heights across the Precinct will assist to deliver a </w:t>
      </w:r>
      <w:r w:rsidR="009A63AF">
        <w:t>well-considered variation in built form.</w:t>
      </w:r>
    </w:p>
    <w:p w:rsidR="00A862F8" w:rsidRDefault="00A862F8" w:rsidP="00A862F8">
      <w:pPr>
        <w:pStyle w:val="Heading2"/>
      </w:pPr>
      <w:bookmarkStart w:id="41" w:name="_Toc519849260"/>
      <w:r>
        <w:t>Street wall heights</w:t>
      </w:r>
      <w:bookmarkEnd w:id="41"/>
    </w:p>
    <w:p w:rsidR="00A862F8" w:rsidRDefault="00F45F1E" w:rsidP="00A862F8">
      <w:pPr>
        <w:pStyle w:val="Heading4"/>
      </w:pPr>
      <w:r>
        <w:t>Submissions and evidence</w:t>
      </w:r>
    </w:p>
    <w:p w:rsidR="003E27EC" w:rsidRDefault="003E27EC" w:rsidP="003E27EC">
      <w:pPr>
        <w:pStyle w:val="PPVBody"/>
      </w:pPr>
      <w:r>
        <w:t>Submissions relating to street wall heights generally expressed confusion about the drafting or requested a more contextual, site specific appro</w:t>
      </w:r>
      <w:r w:rsidR="00F45F1E">
        <w:t>ach in determining the heights.</w:t>
      </w:r>
    </w:p>
    <w:p w:rsidR="003F4062" w:rsidRDefault="003F4062" w:rsidP="003E27EC">
      <w:pPr>
        <w:pStyle w:val="PPVBody"/>
      </w:pPr>
      <w:r>
        <w:t>Through his evidence, Mr Sheppard supported the street wall heights at 11 Montague Street (Montague North Park) to be 8 storeys, a position that the Minister did no</w:t>
      </w:r>
      <w:r w:rsidR="00F45F1E">
        <w:t>t support.</w:t>
      </w:r>
    </w:p>
    <w:p w:rsidR="00A862F8" w:rsidRDefault="00A862F8" w:rsidP="00A862F8">
      <w:pPr>
        <w:pStyle w:val="Heading4"/>
      </w:pPr>
      <w:r>
        <w:lastRenderedPageBreak/>
        <w:t>Discussion</w:t>
      </w:r>
    </w:p>
    <w:p w:rsidR="003F4062" w:rsidRDefault="003F4062" w:rsidP="00B71A7B">
      <w:pPr>
        <w:pStyle w:val="PPVBody"/>
      </w:pPr>
      <w:r>
        <w:t>As the Review Panel is supporting the position of Port Phillip with regard to the Montague North Park area</w:t>
      </w:r>
      <w:r w:rsidR="00F73890">
        <w:t xml:space="preserve"> (see Chapter 4.3)</w:t>
      </w:r>
      <w:r>
        <w:t>, the issue of the appropriate street wall height at 11 Montague Street is a moot point.</w:t>
      </w:r>
    </w:p>
    <w:p w:rsidR="00A862F8" w:rsidRDefault="0099675D" w:rsidP="00B71A7B">
      <w:pPr>
        <w:pStyle w:val="PPVBody"/>
      </w:pPr>
      <w:r>
        <w:t xml:space="preserve">The Review Panel is satisfied that the street wall heights as proposed by the Minister </w:t>
      </w:r>
      <w:r w:rsidR="008F616B">
        <w:t xml:space="preserve">in </w:t>
      </w:r>
      <w:r>
        <w:t>the P</w:t>
      </w:r>
      <w:r w:rsidR="00F45F1E">
        <w:t>art C controls are appropriate.</w:t>
      </w:r>
    </w:p>
    <w:p w:rsidR="00A862F8" w:rsidRDefault="00F73890" w:rsidP="00B71A7B">
      <w:pPr>
        <w:pStyle w:val="PPVBody"/>
      </w:pPr>
      <w:r>
        <w:t xml:space="preserve">In its Overview Report, the </w:t>
      </w:r>
      <w:r w:rsidR="003F4062">
        <w:t>Review Panel has undertaken a significant review of how the street wall heights are expressed.</w:t>
      </w:r>
      <w:r w:rsidR="008F616B">
        <w:t xml:space="preserve">  This is reflected in the Review Panel’s preferred version of the Montague DDO, contained in Appendix B.5 of Volume 2</w:t>
      </w:r>
      <w:r w:rsidR="009A63AF">
        <w:t xml:space="preserve"> of Report No. 1</w:t>
      </w:r>
      <w:r w:rsidR="008F616B">
        <w:t>.</w:t>
      </w:r>
    </w:p>
    <w:p w:rsidR="00A862F8" w:rsidRDefault="00362A22" w:rsidP="00A862F8">
      <w:pPr>
        <w:pStyle w:val="Heading2"/>
      </w:pPr>
      <w:bookmarkStart w:id="42" w:name="_Toc519849261"/>
      <w:r>
        <w:t xml:space="preserve">Designation of </w:t>
      </w:r>
      <w:r w:rsidR="008F616B">
        <w:t>a c</w:t>
      </w:r>
      <w:r>
        <w:t>ore retail area and a</w:t>
      </w:r>
      <w:r w:rsidR="00A862F8">
        <w:t>ctive frontages</w:t>
      </w:r>
      <w:bookmarkEnd w:id="42"/>
    </w:p>
    <w:p w:rsidR="00A862F8" w:rsidRDefault="00A862F8" w:rsidP="00A862F8">
      <w:pPr>
        <w:pStyle w:val="Heading4"/>
      </w:pPr>
      <w:r>
        <w:t xml:space="preserve">Submissions and evidence </w:t>
      </w:r>
    </w:p>
    <w:p w:rsidR="00B31A29" w:rsidRDefault="00B31A29" w:rsidP="00A862F8">
      <w:pPr>
        <w:pStyle w:val="PPVBody"/>
      </w:pPr>
      <w:r>
        <w:t xml:space="preserve">Port Phillip submitted that the </w:t>
      </w:r>
      <w:r w:rsidR="008F616B">
        <w:t>core a</w:t>
      </w:r>
      <w:r>
        <w:t xml:space="preserve">rea is too large to create vibrant </w:t>
      </w:r>
      <w:r w:rsidR="008F616B">
        <w:t>a</w:t>
      </w:r>
      <w:r>
        <w:t xml:space="preserve">ctivity </w:t>
      </w:r>
      <w:r w:rsidR="008F616B">
        <w:t>c</w:t>
      </w:r>
      <w:r>
        <w:t xml:space="preserve">entres in Montague, </w:t>
      </w:r>
      <w:r w:rsidR="008F616B">
        <w:t xml:space="preserve">and </w:t>
      </w:r>
      <w:r>
        <w:t>it shoul</w:t>
      </w:r>
      <w:r w:rsidR="00505C65">
        <w:t>d be confined to the b</w:t>
      </w:r>
      <w:r>
        <w:t>lock contained within Gladstone, Kerr, Ferrars and Thistle</w:t>
      </w:r>
      <w:r w:rsidR="00F73890">
        <w:t>th</w:t>
      </w:r>
      <w:r>
        <w:t>waite Streets</w:t>
      </w:r>
      <w:r w:rsidR="00EF6B5C">
        <w:t>, with Montague and Buckhurst Streets as ‘main’ streets.  Port Phillip supported the application of a DPO over this area to ensure key anchor uses can be</w:t>
      </w:r>
      <w:r w:rsidR="00C6288C">
        <w:t xml:space="preserve"> properly</w:t>
      </w:r>
      <w:r w:rsidR="00EF6B5C">
        <w:t xml:space="preserve"> master planned.</w:t>
      </w:r>
    </w:p>
    <w:p w:rsidR="00641133" w:rsidRDefault="00B63DE4" w:rsidP="00A862F8">
      <w:pPr>
        <w:pStyle w:val="PPVBody"/>
      </w:pPr>
      <w:r>
        <w:t xml:space="preserve">Port Phillip </w:t>
      </w:r>
      <w:r w:rsidR="00641133">
        <w:t>sought several changes to the designation of active frontages in Montague, the key ones including:</w:t>
      </w:r>
    </w:p>
    <w:p w:rsidR="00641133" w:rsidRDefault="00641133" w:rsidP="00641133">
      <w:pPr>
        <w:pStyle w:val="PPVBullet1"/>
      </w:pPr>
      <w:r>
        <w:t xml:space="preserve">Normanby </w:t>
      </w:r>
      <w:r w:rsidR="009A63AF">
        <w:t>Road and Montague Street change</w:t>
      </w:r>
      <w:r>
        <w:t xml:space="preserve"> from ‘primary’ to ‘secondary’ due to the overall width of the roads and the amount of traffic carried</w:t>
      </w:r>
    </w:p>
    <w:p w:rsidR="00641133" w:rsidRDefault="00B63DE4" w:rsidP="00641133">
      <w:pPr>
        <w:pStyle w:val="PPVBullet1"/>
      </w:pPr>
      <w:r>
        <w:t>d</w:t>
      </w:r>
      <w:r w:rsidR="00641133">
        <w:t>eletion of the ‘secondary’ designation along the norther</w:t>
      </w:r>
      <w:r w:rsidR="003B57BB">
        <w:t>n</w:t>
      </w:r>
      <w:r w:rsidR="00641133">
        <w:t xml:space="preserve"> edge of Montague North Park</w:t>
      </w:r>
    </w:p>
    <w:p w:rsidR="00641133" w:rsidRDefault="00641133" w:rsidP="00641133">
      <w:pPr>
        <w:pStyle w:val="PPVBullet1"/>
      </w:pPr>
      <w:r>
        <w:t xml:space="preserve">Deletion of the ‘secondary’ </w:t>
      </w:r>
      <w:r w:rsidR="00B63DE4">
        <w:t xml:space="preserve">designation </w:t>
      </w:r>
      <w:r>
        <w:t>along Johnson Street.</w:t>
      </w:r>
    </w:p>
    <w:p w:rsidR="00B31A29" w:rsidRDefault="00641133" w:rsidP="00A862F8">
      <w:pPr>
        <w:pStyle w:val="PPVBody"/>
      </w:pPr>
      <w:r>
        <w:t xml:space="preserve">In his response, the Minister noted that the extent of the active frontages </w:t>
      </w:r>
      <w:r w:rsidR="00B63DE4">
        <w:t xml:space="preserve">was </w:t>
      </w:r>
      <w:r>
        <w:t>being considered in light of the findings of the retail assessment</w:t>
      </w:r>
      <w:r w:rsidR="003B57BB">
        <w:t xml:space="preserve">.  </w:t>
      </w:r>
      <w:r w:rsidR="00B63DE4">
        <w:t xml:space="preserve">The Minister provided a </w:t>
      </w:r>
      <w:r w:rsidR="003B57BB">
        <w:t>revised DDO for Montague the Minister (D307) which showed no change to Normanby Road</w:t>
      </w:r>
      <w:r w:rsidR="00B63DE4">
        <w:t>,</w:t>
      </w:r>
      <w:r w:rsidR="003B57BB">
        <w:t xml:space="preserve"> but what appears to be a change from ‘primary’ to ‘secondary’ along Montague Street.  Further, it appeared to delete the designation along Johnson Street.</w:t>
      </w:r>
    </w:p>
    <w:p w:rsidR="00A862F8" w:rsidRDefault="00A862F8" w:rsidP="00A862F8">
      <w:pPr>
        <w:pStyle w:val="Heading4"/>
      </w:pPr>
      <w:r>
        <w:t>Discussion</w:t>
      </w:r>
    </w:p>
    <w:p w:rsidR="00B63DE4" w:rsidRDefault="00EF6B5C" w:rsidP="00B71A7B">
      <w:pPr>
        <w:pStyle w:val="PPVBody"/>
      </w:pPr>
      <w:r>
        <w:t xml:space="preserve">The Review Panel has already commented on the use of a DPO to assist in master planning of key sites and areas on an opt in basis.  Once the </w:t>
      </w:r>
      <w:r w:rsidR="00C06788">
        <w:t xml:space="preserve">Montague </w:t>
      </w:r>
      <w:r>
        <w:t xml:space="preserve">Precinct </w:t>
      </w:r>
      <w:r w:rsidR="00B63DE4">
        <w:t xml:space="preserve">Plan </w:t>
      </w:r>
      <w:r>
        <w:t xml:space="preserve">is prepared and the extent of the core retail activity area is resolved, this might result in </w:t>
      </w:r>
      <w:r w:rsidR="00B63DE4">
        <w:t xml:space="preserve">the </w:t>
      </w:r>
      <w:r>
        <w:t>opportunity to apply a DPO.</w:t>
      </w:r>
      <w:r w:rsidR="0099675D">
        <w:t xml:space="preserve">  Further, the appropriate designation of a core retail area could then be desi</w:t>
      </w:r>
      <w:r w:rsidR="00C6288C">
        <w:t>gnat</w:t>
      </w:r>
      <w:r w:rsidR="00F73890">
        <w:t>ed</w:t>
      </w:r>
      <w:r w:rsidR="00C6288C">
        <w:t xml:space="preserve"> on the Precinct </w:t>
      </w:r>
      <w:r w:rsidR="00B63DE4">
        <w:t>P</w:t>
      </w:r>
      <w:r w:rsidR="00F45F1E">
        <w:t>lan.</w:t>
      </w:r>
    </w:p>
    <w:p w:rsidR="00EF6B5C" w:rsidRDefault="00C6288C" w:rsidP="00B71A7B">
      <w:pPr>
        <w:pStyle w:val="PPVBody"/>
      </w:pPr>
      <w:r>
        <w:t>T</w:t>
      </w:r>
      <w:r w:rsidR="0099675D">
        <w:t xml:space="preserve">he Review Panel agrees with Port Phillip that finding and identifying an appropriate site for a full sized supermarket and supporting retail will be critical in the first instance as part of the </w:t>
      </w:r>
      <w:r w:rsidR="00B63DE4">
        <w:t>p</w:t>
      </w:r>
      <w:r w:rsidR="0099675D">
        <w:t>recinct plan</w:t>
      </w:r>
      <w:r w:rsidR="00B63DE4">
        <w:t>ning</w:t>
      </w:r>
      <w:r w:rsidR="0099675D">
        <w:t xml:space="preserve"> process, particularly given the fragmented nature of the landholdings in Montague South.</w:t>
      </w:r>
    </w:p>
    <w:p w:rsidR="00D314B4" w:rsidRDefault="003B57BB" w:rsidP="003B57BB">
      <w:pPr>
        <w:pStyle w:val="PPVBody"/>
      </w:pPr>
      <w:r>
        <w:lastRenderedPageBreak/>
        <w:t>The Review Panel supports the distinction between primary and secondary active frontages.  While it does not agree that the identification of primary and secondary active frontages should be defe</w:t>
      </w:r>
      <w:r w:rsidR="00C6288C">
        <w:t xml:space="preserve">rred until the </w:t>
      </w:r>
      <w:r w:rsidR="00B63DE4">
        <w:t>p</w:t>
      </w:r>
      <w:r w:rsidR="00C6288C">
        <w:t>recinct plan</w:t>
      </w:r>
      <w:r w:rsidR="00B63DE4">
        <w:t>ning</w:t>
      </w:r>
      <w:r>
        <w:t xml:space="preserve"> process, it considers that the extent of primary and secondary active frontages can be further considered in the Precinct </w:t>
      </w:r>
      <w:r w:rsidR="00B63DE4">
        <w:t>P</w:t>
      </w:r>
      <w:r>
        <w:t>lans and adj</w:t>
      </w:r>
      <w:r w:rsidR="00F45F1E">
        <w:t>usted accordingly if required.</w:t>
      </w:r>
    </w:p>
    <w:p w:rsidR="003B57BB" w:rsidRDefault="003B57BB" w:rsidP="003B57BB">
      <w:pPr>
        <w:pStyle w:val="PPVBody"/>
      </w:pPr>
      <w:r>
        <w:t xml:space="preserve">For these reasons, it accepts the designations as shown </w:t>
      </w:r>
      <w:r w:rsidR="00D77319">
        <w:t xml:space="preserve">in the revised DDO for Montague, with the exception of the secondary </w:t>
      </w:r>
      <w:r w:rsidR="00B63DE4">
        <w:t xml:space="preserve">active frontage </w:t>
      </w:r>
      <w:r w:rsidR="00D77319">
        <w:t>designation along Johnson Street</w:t>
      </w:r>
      <w:r w:rsidR="00D314B4">
        <w:t>, which i</w:t>
      </w:r>
      <w:r w:rsidR="00C6288C">
        <w:t>t</w:t>
      </w:r>
      <w:r w:rsidR="00D314B4">
        <w:t xml:space="preserve"> considers to be superfluous to its role and function.  Given that the Review Panel supports the designation of the whole of the northern area for Montague North Park, it considers the </w:t>
      </w:r>
      <w:r w:rsidR="00B63DE4">
        <w:t xml:space="preserve">secondary active frontage </w:t>
      </w:r>
      <w:r w:rsidR="00D314B4">
        <w:t>along its northern edge</w:t>
      </w:r>
      <w:r w:rsidR="00B63DE4" w:rsidRPr="00B63DE4">
        <w:t xml:space="preserve"> </w:t>
      </w:r>
      <w:r w:rsidR="00B63DE4">
        <w:t>is not warranted and the Review Panel supports its removal</w:t>
      </w:r>
      <w:r w:rsidR="00F45F1E">
        <w:t>.</w:t>
      </w:r>
    </w:p>
    <w:p w:rsidR="00607994" w:rsidRDefault="00A462FE" w:rsidP="00B67CC7">
      <w:pPr>
        <w:pStyle w:val="Heading2"/>
      </w:pPr>
      <w:bookmarkStart w:id="43" w:name="_Toc519849262"/>
      <w:r>
        <w:t>Findings</w:t>
      </w:r>
      <w:bookmarkEnd w:id="43"/>
    </w:p>
    <w:p w:rsidR="00B15C5F" w:rsidRDefault="00B15C5F" w:rsidP="000C5DD2">
      <w:pPr>
        <w:pStyle w:val="PPVBody"/>
      </w:pPr>
      <w:r>
        <w:t xml:space="preserve">The </w:t>
      </w:r>
      <w:r w:rsidR="00A462FE">
        <w:t>Review Panel finds</w:t>
      </w:r>
      <w:r>
        <w:t>:</w:t>
      </w:r>
    </w:p>
    <w:p w:rsidR="007F5709" w:rsidRDefault="00F45EA2" w:rsidP="007F5709">
      <w:pPr>
        <w:pStyle w:val="PPVBullet1"/>
      </w:pPr>
      <w:r>
        <w:t xml:space="preserve">The built form of Montague will comprise diverse outcomes in the form of high rise, </w:t>
      </w:r>
      <w:r w:rsidR="00B63DE4">
        <w:t xml:space="preserve">hybrid </w:t>
      </w:r>
      <w:r>
        <w:t xml:space="preserve">and </w:t>
      </w:r>
      <w:r w:rsidR="00C11C77">
        <w:t>mid-rise</w:t>
      </w:r>
      <w:r>
        <w:t xml:space="preserve"> typol</w:t>
      </w:r>
      <w:r w:rsidR="00523129">
        <w:t>ogies.</w:t>
      </w:r>
      <w:r w:rsidR="00B63DE4" w:rsidRPr="00B63DE4">
        <w:t xml:space="preserve"> </w:t>
      </w:r>
      <w:r w:rsidR="00B63DE4">
        <w:t xml:space="preserve"> The Review Panel supports Port Phillip’s proposed ‘tooth and gap’ approach along the northern side of Buckhurst Street between</w:t>
      </w:r>
      <w:r w:rsidR="005F501A">
        <w:t xml:space="preserve"> Montague and Ferrars Streets</w:t>
      </w:r>
      <w:r w:rsidR="00B63DE4">
        <w:t>.</w:t>
      </w:r>
    </w:p>
    <w:p w:rsidR="00A462FE" w:rsidRDefault="00523129" w:rsidP="007F5709">
      <w:pPr>
        <w:pStyle w:val="PPVBullet1"/>
      </w:pPr>
      <w:r>
        <w:t>Montague lends itself to tall</w:t>
      </w:r>
      <w:r w:rsidR="00A862F8">
        <w:t>er</w:t>
      </w:r>
      <w:r>
        <w:t xml:space="preserve"> buildings in the inner core and to its north and north east.</w:t>
      </w:r>
    </w:p>
    <w:p w:rsidR="00A462FE" w:rsidRDefault="00523129" w:rsidP="007F5709">
      <w:pPr>
        <w:pStyle w:val="PPVBullet1"/>
      </w:pPr>
      <w:r>
        <w:t>The key spines of Montague and Buckhurst Streets and the further spines of City and Normandy Roads, while being major transit corridors, have the potenti</w:t>
      </w:r>
      <w:r w:rsidR="009A63AF">
        <w:t>al to be significant civic spines that provide good connectivity between various uses.</w:t>
      </w:r>
    </w:p>
    <w:p w:rsidR="00C6288C" w:rsidRDefault="00C6288C" w:rsidP="007F5709">
      <w:pPr>
        <w:pStyle w:val="PPVBullet1"/>
      </w:pPr>
      <w:r>
        <w:t>The gritty urban built form of areas within Montague South should be celebrated as defining features to enhance its overall urban context.</w:t>
      </w:r>
    </w:p>
    <w:p w:rsidR="00513284" w:rsidRDefault="00513284" w:rsidP="007F5709">
      <w:pPr>
        <w:pStyle w:val="PPVBullet1"/>
      </w:pPr>
      <w:r>
        <w:t>The discretionary and mandatory building heights for Montague are supported as shown in the revised Map 3 to the Montague Design and Development Overlay.</w:t>
      </w:r>
    </w:p>
    <w:p w:rsidR="007861E0" w:rsidRDefault="007861E0" w:rsidP="007F5709">
      <w:pPr>
        <w:pStyle w:val="PPVBullet1"/>
      </w:pPr>
      <w:r>
        <w:t xml:space="preserve">The </w:t>
      </w:r>
      <w:r w:rsidR="00F73890">
        <w:t xml:space="preserve">deletion of the </w:t>
      </w:r>
      <w:r>
        <w:t>secondary access designations for Johnson and the norther</w:t>
      </w:r>
      <w:r w:rsidR="00C6288C">
        <w:t>n</w:t>
      </w:r>
      <w:r w:rsidR="009A63AF">
        <w:t xml:space="preserve"> part of Montague Street</w:t>
      </w:r>
      <w:r>
        <w:t xml:space="preserve"> </w:t>
      </w:r>
      <w:r w:rsidR="00F73890">
        <w:t>is supported.</w:t>
      </w:r>
    </w:p>
    <w:p w:rsidR="00A462FE" w:rsidRPr="00233351" w:rsidRDefault="00F948F4" w:rsidP="00A462FE">
      <w:pPr>
        <w:pStyle w:val="Heading1"/>
      </w:pPr>
      <w:bookmarkStart w:id="44" w:name="_Toc519849263"/>
      <w:r>
        <w:lastRenderedPageBreak/>
        <w:t>Location of open space</w:t>
      </w:r>
      <w:bookmarkEnd w:id="44"/>
    </w:p>
    <w:p w:rsidR="00A462FE" w:rsidRDefault="00A462FE" w:rsidP="00A462FE">
      <w:pPr>
        <w:pStyle w:val="Heading2"/>
      </w:pPr>
      <w:bookmarkStart w:id="45" w:name="_Toc519849264"/>
      <w:r>
        <w:t>Context</w:t>
      </w:r>
      <w:bookmarkEnd w:id="45"/>
      <w:r>
        <w:t xml:space="preserve"> </w:t>
      </w:r>
    </w:p>
    <w:p w:rsidR="00A462FE" w:rsidRDefault="00D55CC5" w:rsidP="00A462FE">
      <w:pPr>
        <w:pStyle w:val="PPVBody"/>
      </w:pPr>
      <w:r>
        <w:t xml:space="preserve">The </w:t>
      </w:r>
      <w:r w:rsidR="007E5A37">
        <w:t>dra</w:t>
      </w:r>
      <w:r w:rsidR="003E27EC">
        <w:t>f</w:t>
      </w:r>
      <w:r w:rsidR="007E5A37">
        <w:t xml:space="preserve">t </w:t>
      </w:r>
      <w:r>
        <w:t xml:space="preserve">Framework provides for a number of sites for ‘Future open space’.  These include larger regional </w:t>
      </w:r>
      <w:r w:rsidR="00B63DE4">
        <w:t xml:space="preserve">open space </w:t>
      </w:r>
      <w:r>
        <w:t xml:space="preserve">and </w:t>
      </w:r>
      <w:r w:rsidR="00B63DE4">
        <w:t xml:space="preserve">a number of </w:t>
      </w:r>
      <w:r>
        <w:t xml:space="preserve">linear or connected spines.  </w:t>
      </w:r>
      <w:r w:rsidR="003A2960">
        <w:t>The key spaces include:</w:t>
      </w:r>
    </w:p>
    <w:p w:rsidR="003A2960" w:rsidRDefault="003A2960" w:rsidP="003A2960">
      <w:pPr>
        <w:pStyle w:val="PPVBullet1"/>
      </w:pPr>
      <w:r>
        <w:t>Montague Park (under construction)</w:t>
      </w:r>
    </w:p>
    <w:p w:rsidR="003A2960" w:rsidRDefault="003A2960" w:rsidP="003A2960">
      <w:pPr>
        <w:pStyle w:val="PPVBullet1"/>
      </w:pPr>
      <w:r>
        <w:t>Montague North Park</w:t>
      </w:r>
    </w:p>
    <w:p w:rsidR="003A2960" w:rsidRDefault="003A2960" w:rsidP="003A2960">
      <w:pPr>
        <w:pStyle w:val="PPVBullet1"/>
      </w:pPr>
      <w:r>
        <w:t>Buckhurst Linear Park</w:t>
      </w:r>
    </w:p>
    <w:p w:rsidR="003A2960" w:rsidRDefault="003A2960" w:rsidP="003A2960">
      <w:pPr>
        <w:pStyle w:val="PPVBullet1"/>
      </w:pPr>
      <w:r>
        <w:t>other smaller spaces l</w:t>
      </w:r>
      <w:r w:rsidR="00F45F1E">
        <w:t>ocated throughout the Precinct.</w:t>
      </w:r>
    </w:p>
    <w:p w:rsidR="00A462FE" w:rsidRDefault="00A462FE" w:rsidP="00A462FE">
      <w:pPr>
        <w:pStyle w:val="Heading2"/>
      </w:pPr>
      <w:bookmarkStart w:id="46" w:name="_Toc519849265"/>
      <w:r w:rsidRPr="00445060">
        <w:t>Submissions</w:t>
      </w:r>
      <w:r>
        <w:t xml:space="preserve"> and evidence</w:t>
      </w:r>
      <w:bookmarkEnd w:id="46"/>
    </w:p>
    <w:p w:rsidR="00A462FE" w:rsidRDefault="007D3AB7" w:rsidP="00A462FE">
      <w:pPr>
        <w:pStyle w:val="PPVBody"/>
      </w:pPr>
      <w:r>
        <w:t>Port Phillip made a number of submissions about the location of open space in Montague.</w:t>
      </w:r>
    </w:p>
    <w:p w:rsidR="00A462FE" w:rsidRDefault="00404238" w:rsidP="00A462FE">
      <w:pPr>
        <w:pStyle w:val="PPVBody"/>
      </w:pPr>
      <w:r>
        <w:t>In relation to Montague North Park, Port Phillip submitted that:</w:t>
      </w:r>
    </w:p>
    <w:p w:rsidR="00404238" w:rsidRDefault="00404238" w:rsidP="00404238">
      <w:pPr>
        <w:pStyle w:val="PPVQuote"/>
      </w:pPr>
      <w:r>
        <w:t>The Montague North Park is proposed on existing Crown land, part of which is proposed to be sold for private development.  Council submits that the whole of that Crown land should be retained in public ownership and used for the purposes of a park and a Sport and Recreation Hub.</w:t>
      </w:r>
      <w:r w:rsidR="003223A2">
        <w:rPr>
          <w:rStyle w:val="FootnoteReference"/>
        </w:rPr>
        <w:footnoteReference w:id="12"/>
      </w:r>
    </w:p>
    <w:p w:rsidR="009078F8" w:rsidRDefault="009078F8" w:rsidP="00404238">
      <w:pPr>
        <w:pStyle w:val="PPVBody"/>
      </w:pPr>
      <w:r>
        <w:t>Port Phillip noted that the site is approximately 20,000 square metres, of which 11,000 square metres is proposed for open space, and 9</w:t>
      </w:r>
      <w:r w:rsidR="00F45F1E">
        <w:t>,000 for development purposes.</w:t>
      </w:r>
    </w:p>
    <w:p w:rsidR="00986C68" w:rsidRDefault="00986C68" w:rsidP="00404238">
      <w:pPr>
        <w:pStyle w:val="PPVBody"/>
      </w:pPr>
      <w:r>
        <w:t>The Minister did not support this position and noted that the land could provide a significant housing opportunity that would assist in meeting affordable housing objectives.</w:t>
      </w:r>
    </w:p>
    <w:p w:rsidR="00404238" w:rsidRDefault="002D526D" w:rsidP="00404238">
      <w:pPr>
        <w:pStyle w:val="PPVBody"/>
      </w:pPr>
      <w:r>
        <w:t xml:space="preserve">For the other public open spaces, </w:t>
      </w:r>
      <w:r w:rsidR="00B67EE9">
        <w:t>Port Phillip</w:t>
      </w:r>
      <w:r>
        <w:t xml:space="preserve"> submitted that </w:t>
      </w:r>
      <w:r w:rsidR="009A63AF">
        <w:t>it</w:t>
      </w:r>
      <w:r>
        <w:t xml:space="preserve"> generally supported the proposals provided in the </w:t>
      </w:r>
      <w:r w:rsidR="00F73890">
        <w:t xml:space="preserve">draft </w:t>
      </w:r>
      <w:r>
        <w:t xml:space="preserve">Framework and the </w:t>
      </w:r>
      <w:r w:rsidR="007D3AB7">
        <w:t>changes sought by Ms Thompson</w:t>
      </w:r>
      <w:r w:rsidR="00B67EE9">
        <w:t>.  Notwithstanding, Port Phillip</w:t>
      </w:r>
      <w:r w:rsidR="007D3AB7">
        <w:t xml:space="preserve"> considered </w:t>
      </w:r>
      <w:r w:rsidR="005211BB">
        <w:t xml:space="preserve">the space proposed for 87 Gladstone Street </w:t>
      </w:r>
      <w:r w:rsidR="00B63DE4">
        <w:t xml:space="preserve">should </w:t>
      </w:r>
      <w:r w:rsidR="005211BB">
        <w:t xml:space="preserve">be </w:t>
      </w:r>
      <w:r w:rsidR="00B63DE4">
        <w:t xml:space="preserve">relocated to </w:t>
      </w:r>
      <w:r w:rsidR="005211BB">
        <w:t>34-47 Thistle</w:t>
      </w:r>
      <w:r w:rsidR="00F73890">
        <w:t>th</w:t>
      </w:r>
      <w:r w:rsidR="005211BB">
        <w:t>waite Street</w:t>
      </w:r>
      <w:r w:rsidR="00B63DE4">
        <w:t>, opposite a designated space north of the street</w:t>
      </w:r>
      <w:r w:rsidR="005211BB">
        <w:t xml:space="preserve">.  The Minister agreed to the deletion of </w:t>
      </w:r>
      <w:r w:rsidR="00B63DE4">
        <w:t xml:space="preserve">the open space at </w:t>
      </w:r>
      <w:r w:rsidR="00F73890">
        <w:t xml:space="preserve">87 </w:t>
      </w:r>
      <w:r w:rsidR="005211BB">
        <w:t>Gladstone Street</w:t>
      </w:r>
      <w:r w:rsidR="00B63DE4">
        <w:t>,</w:t>
      </w:r>
      <w:r w:rsidR="005211BB">
        <w:t xml:space="preserve"> but not the addition of the</w:t>
      </w:r>
      <w:r w:rsidR="00B67EE9">
        <w:t xml:space="preserve"> Port Phillip</w:t>
      </w:r>
      <w:r w:rsidR="005211BB">
        <w:t xml:space="preserve"> preferred parcel at </w:t>
      </w:r>
      <w:r w:rsidR="00542879">
        <w:t xml:space="preserve">34-47 </w:t>
      </w:r>
      <w:r w:rsidR="005211BB">
        <w:t>Thistle</w:t>
      </w:r>
      <w:r w:rsidR="00F73890">
        <w:t>th</w:t>
      </w:r>
      <w:r w:rsidR="005211BB">
        <w:t>waite</w:t>
      </w:r>
      <w:r w:rsidR="00B67EE9">
        <w:t xml:space="preserve"> Street.  </w:t>
      </w:r>
      <w:r w:rsidR="009A63AF">
        <w:t>(</w:t>
      </w:r>
      <w:r w:rsidR="00941792">
        <w:t>Th</w:t>
      </w:r>
      <w:r w:rsidR="00B936CB">
        <w:t xml:space="preserve">e </w:t>
      </w:r>
      <w:r w:rsidR="009A63AF">
        <w:t xml:space="preserve">Review Panel notes the </w:t>
      </w:r>
      <w:r w:rsidR="00B936CB">
        <w:t>overshadowing</w:t>
      </w:r>
      <w:r w:rsidR="00941792">
        <w:t xml:space="preserve"> </w:t>
      </w:r>
      <w:r w:rsidR="00B936CB">
        <w:t>controls</w:t>
      </w:r>
      <w:r w:rsidR="00941792">
        <w:t xml:space="preserve"> that </w:t>
      </w:r>
      <w:r w:rsidR="00B936CB">
        <w:t>previously</w:t>
      </w:r>
      <w:r w:rsidR="00941792">
        <w:t xml:space="preserve"> applied to 87 Gladstone Street have been</w:t>
      </w:r>
      <w:r w:rsidR="00B936CB">
        <w:t xml:space="preserve"> </w:t>
      </w:r>
      <w:r w:rsidR="00941792">
        <w:t>amended</w:t>
      </w:r>
      <w:r w:rsidR="009A63AF">
        <w:t>)</w:t>
      </w:r>
      <w:r w:rsidR="00941792">
        <w:t>.</w:t>
      </w:r>
    </w:p>
    <w:p w:rsidR="00B67EE9" w:rsidRDefault="00B67EE9" w:rsidP="00404238">
      <w:pPr>
        <w:pStyle w:val="PPVBody"/>
      </w:pPr>
      <w:r>
        <w:t>Both the Minister and Port Phillip endorsed the recommendation</w:t>
      </w:r>
      <w:r w:rsidR="00723B2A">
        <w:t>s</w:t>
      </w:r>
      <w:r>
        <w:t xml:space="preserve"> of Ms Thompson for location of a new space at 101-109 Thistle</w:t>
      </w:r>
      <w:r w:rsidR="00F73890">
        <w:t>th</w:t>
      </w:r>
      <w:r w:rsidR="00F45F1E">
        <w:t>waite Street.</w:t>
      </w:r>
    </w:p>
    <w:p w:rsidR="00723B2A" w:rsidRDefault="00723B2A" w:rsidP="00404238">
      <w:pPr>
        <w:pStyle w:val="PPVBody"/>
      </w:pPr>
      <w:r>
        <w:t xml:space="preserve">Part of Johnson Street is </w:t>
      </w:r>
      <w:r w:rsidR="009A63AF">
        <w:t xml:space="preserve">proposed </w:t>
      </w:r>
      <w:r>
        <w:t xml:space="preserve">to be closed </w:t>
      </w:r>
      <w:r w:rsidR="00941792">
        <w:t>with a 12 metre width to be used as linear</w:t>
      </w:r>
      <w:r w:rsidR="00F45F1E">
        <w:t xml:space="preserve"> open space.</w:t>
      </w:r>
    </w:p>
    <w:p w:rsidR="00337C1E" w:rsidRDefault="00337C1E" w:rsidP="00404238">
      <w:pPr>
        <w:pStyle w:val="PPVBody"/>
      </w:pPr>
      <w:r>
        <w:t xml:space="preserve">There is proposed to be a small increase </w:t>
      </w:r>
      <w:r w:rsidR="00723B2A">
        <w:t xml:space="preserve">of 1,333 square metres </w:t>
      </w:r>
      <w:r>
        <w:t>in public open space as a result of Ms Thompsons recommendations, going from 63,627 to 64, 960 square metres</w:t>
      </w:r>
      <w:r w:rsidR="00723B2A">
        <w:t>.</w:t>
      </w:r>
    </w:p>
    <w:p w:rsidR="003E27EC" w:rsidRDefault="003E27EC" w:rsidP="003E27EC">
      <w:pPr>
        <w:pStyle w:val="PPVBody"/>
      </w:pPr>
      <w:r>
        <w:lastRenderedPageBreak/>
        <w:t>Other submissions on open space were generally focused on the unclear justifications for the sites proposed.  Many submissions requested clarity on how this open space would be acquired and delivered.</w:t>
      </w:r>
      <w:r w:rsidR="001470CA">
        <w:t xml:space="preserve">  These issues are dealt with in the Overview Report.</w:t>
      </w:r>
    </w:p>
    <w:p w:rsidR="00415BFB" w:rsidRDefault="00337C1E" w:rsidP="00404238">
      <w:pPr>
        <w:pStyle w:val="PPVBody"/>
      </w:pPr>
      <w:r>
        <w:t>Wadhaw</w:t>
      </w:r>
      <w:r w:rsidR="001470CA">
        <w:t>a</w:t>
      </w:r>
      <w:r>
        <w:t xml:space="preserve">n </w:t>
      </w:r>
      <w:r w:rsidR="009A63AF">
        <w:t xml:space="preserve">Holdings Pty Ltd </w:t>
      </w:r>
      <w:r>
        <w:t>own</w:t>
      </w:r>
      <w:r w:rsidR="001470CA">
        <w:t>s</w:t>
      </w:r>
      <w:r>
        <w:t xml:space="preserve"> the land </w:t>
      </w:r>
      <w:r w:rsidR="00415BFB">
        <w:t xml:space="preserve">in the triangle of Railway Parade, City Road and Cecil Street.  There is unlimited height </w:t>
      </w:r>
      <w:r w:rsidR="009A63AF">
        <w:t>to</w:t>
      </w:r>
      <w:r w:rsidR="005F501A">
        <w:t xml:space="preserve"> </w:t>
      </w:r>
      <w:r w:rsidR="00415BFB">
        <w:t xml:space="preserve">the north </w:t>
      </w:r>
      <w:r w:rsidR="009A63AF">
        <w:t xml:space="preserve">of that site </w:t>
      </w:r>
      <w:r w:rsidR="00415BFB">
        <w:t xml:space="preserve">and </w:t>
      </w:r>
      <w:r w:rsidR="00B82C3D">
        <w:t>24 storeys</w:t>
      </w:r>
      <w:r w:rsidR="00415BFB">
        <w:t xml:space="preserve"> along City Road.  One of the issues </w:t>
      </w:r>
      <w:r w:rsidR="009A63AF">
        <w:t xml:space="preserve">raised </w:t>
      </w:r>
      <w:r w:rsidR="00415BFB">
        <w:t xml:space="preserve">in submission by Ms Collingwood </w:t>
      </w:r>
      <w:r w:rsidR="007E5A37">
        <w:t>was</w:t>
      </w:r>
      <w:r w:rsidR="00415BFB">
        <w:t xml:space="preserve"> that the area allocated for public open space </w:t>
      </w:r>
      <w:r w:rsidR="00F44375">
        <w:t xml:space="preserve">(1,835 square metres) </w:t>
      </w:r>
      <w:r w:rsidR="00415BFB">
        <w:t>is unnecessary, in that it is a poor location for open space</w:t>
      </w:r>
      <w:r w:rsidR="001470CA">
        <w:t>.  She submitted that,</w:t>
      </w:r>
      <w:r w:rsidR="00415BFB">
        <w:t xml:space="preserve"> if </w:t>
      </w:r>
      <w:r w:rsidR="001470CA">
        <w:t xml:space="preserve">it is </w:t>
      </w:r>
      <w:r w:rsidR="00415BFB">
        <w:t xml:space="preserve">to be provided, it should be in a different location to that </w:t>
      </w:r>
      <w:r w:rsidR="007E5A37">
        <w:t xml:space="preserve">shown on the </w:t>
      </w:r>
      <w:r w:rsidR="00F73890">
        <w:t xml:space="preserve">draft </w:t>
      </w:r>
      <w:r w:rsidR="00F45F1E">
        <w:t>Framework.</w:t>
      </w:r>
    </w:p>
    <w:p w:rsidR="00A462FE" w:rsidRPr="00445060" w:rsidRDefault="00A462FE" w:rsidP="00A462FE">
      <w:pPr>
        <w:pStyle w:val="Heading2"/>
      </w:pPr>
      <w:bookmarkStart w:id="47" w:name="_Toc519849266"/>
      <w:r w:rsidRPr="00445060">
        <w:t>Discussion</w:t>
      </w:r>
      <w:bookmarkEnd w:id="47"/>
    </w:p>
    <w:p w:rsidR="00337C1E" w:rsidRDefault="00337C1E" w:rsidP="00A462FE">
      <w:pPr>
        <w:pStyle w:val="PPVBody"/>
      </w:pPr>
      <w:r>
        <w:t xml:space="preserve">The Review Panel is </w:t>
      </w:r>
      <w:r w:rsidR="009A63AF">
        <w:t xml:space="preserve">generally </w:t>
      </w:r>
      <w:r>
        <w:t>satisfied with the overall allocation and location of public open space in Montague.  Recognising that Montague will be the most densely populated part of Fishermans Bend, there is a good mix of large parks and spaces, w</w:t>
      </w:r>
      <w:r w:rsidR="00C06788">
        <w:t>ith smaller parks and two linear</w:t>
      </w:r>
      <w:r>
        <w:t xml:space="preserve"> green spines.</w:t>
      </w:r>
    </w:p>
    <w:p w:rsidR="009078F8" w:rsidRPr="009078F8" w:rsidRDefault="009078F8" w:rsidP="00A462FE">
      <w:pPr>
        <w:pStyle w:val="PPVBody"/>
        <w:rPr>
          <w:b/>
        </w:rPr>
      </w:pPr>
      <w:r w:rsidRPr="009078F8">
        <w:rPr>
          <w:b/>
        </w:rPr>
        <w:t xml:space="preserve">Montague North </w:t>
      </w:r>
      <w:r w:rsidR="001470CA">
        <w:rPr>
          <w:b/>
        </w:rPr>
        <w:t>Park</w:t>
      </w:r>
    </w:p>
    <w:p w:rsidR="009078F8" w:rsidRDefault="00573500" w:rsidP="00A462FE">
      <w:pPr>
        <w:pStyle w:val="PPVBody"/>
      </w:pPr>
      <w:r>
        <w:t xml:space="preserve">The </w:t>
      </w:r>
      <w:r w:rsidR="00A22DAA">
        <w:t>Review Panel considers that the opportunity to provide a larger area of public open space</w:t>
      </w:r>
      <w:r w:rsidR="001470CA">
        <w:t>,</w:t>
      </w:r>
      <w:r w:rsidR="00A22DAA">
        <w:t xml:space="preserve"> encompass</w:t>
      </w:r>
      <w:r w:rsidR="001470CA">
        <w:t>ing</w:t>
      </w:r>
      <w:r w:rsidR="00A22DAA">
        <w:t xml:space="preserve"> the whole of </w:t>
      </w:r>
      <w:r w:rsidR="001470CA">
        <w:t xml:space="preserve">the </w:t>
      </w:r>
      <w:r w:rsidR="00A22DAA">
        <w:t>Montague North</w:t>
      </w:r>
      <w:r w:rsidR="001470CA">
        <w:t xml:space="preserve"> Park site,</w:t>
      </w:r>
      <w:r w:rsidR="00A22DAA">
        <w:t xml:space="preserve"> is a good idea.  It is land that is publicly owned </w:t>
      </w:r>
      <w:r w:rsidR="00903D98">
        <w:t xml:space="preserve">(currently used for an open lot car park) </w:t>
      </w:r>
      <w:r w:rsidR="00A22DAA">
        <w:t>and unencumbered by development interests.  It can be progressed at an early stage in the life of Fishermans Bend without any amenity impact</w:t>
      </w:r>
      <w:r w:rsidR="00337C1E">
        <w:t xml:space="preserve"> </w:t>
      </w:r>
      <w:r w:rsidR="001470CA">
        <w:t xml:space="preserve">or significant cost, </w:t>
      </w:r>
      <w:r w:rsidR="00337C1E">
        <w:t xml:space="preserve">and is large enough to support the Sport and Recreation Hub </w:t>
      </w:r>
      <w:r w:rsidR="00F45F1E">
        <w:t>identified for Montague North.</w:t>
      </w:r>
    </w:p>
    <w:p w:rsidR="009078F8" w:rsidRDefault="009078F8" w:rsidP="009078F8">
      <w:pPr>
        <w:pStyle w:val="PPVBody"/>
      </w:pPr>
      <w:r>
        <w:t>The Review Panel considers d</w:t>
      </w:r>
      <w:r w:rsidR="00415BFB">
        <w:t xml:space="preserve">evelopment of the land in this way will provide a green break between the dense development and intrusive built form of the </w:t>
      </w:r>
      <w:r w:rsidR="001470CA">
        <w:t xml:space="preserve">West Gate </w:t>
      </w:r>
      <w:r w:rsidR="00415BFB">
        <w:t xml:space="preserve">Freeway and Southbank, and will allow for a gentler entrance into Fishermans Bend from Montague Street.  </w:t>
      </w:r>
      <w:r w:rsidR="002F2175">
        <w:t xml:space="preserve">Further, it could be designed to </w:t>
      </w:r>
      <w:r>
        <w:t>enhance</w:t>
      </w:r>
      <w:r w:rsidR="002F2175">
        <w:t xml:space="preserve"> pedestrian and cycle connectivity to the </w:t>
      </w:r>
      <w:r w:rsidR="009A63AF">
        <w:t>C</w:t>
      </w:r>
      <w:r w:rsidR="002F2175">
        <w:t xml:space="preserve">ity. </w:t>
      </w:r>
      <w:r>
        <w:t xml:space="preserve"> The Review Panel questioned Port Phillip on whether the area of 9,000 square metres, if removed as development potential, could be substituted elsewhere, a position which Mr Montebello </w:t>
      </w:r>
      <w:r w:rsidR="009A63AF">
        <w:t xml:space="preserve">advised, Port Phillip </w:t>
      </w:r>
      <w:r>
        <w:t>did not support.</w:t>
      </w:r>
    </w:p>
    <w:p w:rsidR="00986C68" w:rsidRDefault="00986C68" w:rsidP="00986C68">
      <w:pPr>
        <w:pStyle w:val="PPVBody"/>
      </w:pPr>
      <w:r>
        <w:t>The Review Panel does not consider the remaining development parcel is a good location for housing given its immediate proximity hard up</w:t>
      </w:r>
      <w:r w:rsidR="00F45F1E">
        <w:t xml:space="preserve"> against the West Gate Freeway.</w:t>
      </w:r>
    </w:p>
    <w:p w:rsidR="00723B2A" w:rsidRDefault="00723B2A" w:rsidP="00A462FE">
      <w:pPr>
        <w:pStyle w:val="PPVBody"/>
      </w:pPr>
      <w:r>
        <w:t xml:space="preserve">The Review Panel </w:t>
      </w:r>
      <w:r w:rsidR="001470CA">
        <w:t xml:space="preserve">considers that </w:t>
      </w:r>
      <w:r>
        <w:t xml:space="preserve">the whole of the Montague North site </w:t>
      </w:r>
      <w:r w:rsidR="001470CA">
        <w:t xml:space="preserve">should be used </w:t>
      </w:r>
      <w:r>
        <w:t>for public open space purposes</w:t>
      </w:r>
      <w:r w:rsidR="001470CA">
        <w:t xml:space="preserve">.  Montague has the lowest amount of open space per resident and worker (see Chapter 9.2 on the Overview Report), and </w:t>
      </w:r>
      <w:r>
        <w:t>increas</w:t>
      </w:r>
      <w:r w:rsidR="001470CA">
        <w:t>ing</w:t>
      </w:r>
      <w:r>
        <w:t xml:space="preserve"> the amount of public open space </w:t>
      </w:r>
      <w:r w:rsidR="001470CA">
        <w:t xml:space="preserve">by expanding </w:t>
      </w:r>
      <w:r>
        <w:t>Montague</w:t>
      </w:r>
      <w:r w:rsidR="001470CA">
        <w:t xml:space="preserve"> North Park will be a good outcome.  </w:t>
      </w:r>
      <w:r w:rsidR="009078F8">
        <w:t>It agrees with Port Phillip that</w:t>
      </w:r>
      <w:r w:rsidR="001470CA">
        <w:t xml:space="preserve"> the expanded park</w:t>
      </w:r>
      <w:r w:rsidR="009078F8">
        <w:t>:</w:t>
      </w:r>
    </w:p>
    <w:p w:rsidR="009078F8" w:rsidRDefault="009078F8" w:rsidP="009078F8">
      <w:pPr>
        <w:pStyle w:val="PPVBullet1"/>
      </w:pPr>
      <w:r>
        <w:t>would assist to ameliorate the impacts of the West Gate Freeway</w:t>
      </w:r>
    </w:p>
    <w:p w:rsidR="009078F8" w:rsidRDefault="009078F8" w:rsidP="009078F8">
      <w:pPr>
        <w:pStyle w:val="PPVBullet1"/>
      </w:pPr>
      <w:r>
        <w:t>would create a major civic spine as an entry to Fishermans Bend from Docklands and Southbank</w:t>
      </w:r>
    </w:p>
    <w:p w:rsidR="009078F8" w:rsidRDefault="009078F8" w:rsidP="009078F8">
      <w:pPr>
        <w:pStyle w:val="PPVBullet1"/>
      </w:pPr>
      <w:r>
        <w:t>frees up land for the location of a major Sport and Recreation hub, which will create excellent synergies</w:t>
      </w:r>
      <w:r w:rsidR="00C06788">
        <w:t>.</w:t>
      </w:r>
    </w:p>
    <w:p w:rsidR="00F45F1E" w:rsidRDefault="00F45F1E">
      <w:pPr>
        <w:spacing w:before="0"/>
        <w:jc w:val="left"/>
        <w:rPr>
          <w:b/>
          <w:noProof w:val="0"/>
        </w:rPr>
      </w:pPr>
      <w:r>
        <w:rPr>
          <w:b/>
        </w:rPr>
        <w:br w:type="page"/>
      </w:r>
    </w:p>
    <w:p w:rsidR="009078F8" w:rsidRPr="009078F8" w:rsidRDefault="001470CA" w:rsidP="007E5A37">
      <w:pPr>
        <w:pStyle w:val="PPVBody"/>
        <w:rPr>
          <w:b/>
        </w:rPr>
      </w:pPr>
      <w:r w:rsidRPr="009078F8">
        <w:rPr>
          <w:b/>
        </w:rPr>
        <w:lastRenderedPageBreak/>
        <w:t>Wadhaw</w:t>
      </w:r>
      <w:r>
        <w:rPr>
          <w:b/>
        </w:rPr>
        <w:t>a</w:t>
      </w:r>
      <w:r w:rsidRPr="009078F8">
        <w:rPr>
          <w:b/>
        </w:rPr>
        <w:t xml:space="preserve">n </w:t>
      </w:r>
      <w:r w:rsidR="00986C68">
        <w:rPr>
          <w:b/>
        </w:rPr>
        <w:t xml:space="preserve">Holdings </w:t>
      </w:r>
      <w:r w:rsidR="009078F8" w:rsidRPr="009078F8">
        <w:rPr>
          <w:b/>
        </w:rPr>
        <w:t>site</w:t>
      </w:r>
      <w:r w:rsidR="009078F8">
        <w:rPr>
          <w:b/>
        </w:rPr>
        <w:t xml:space="preserve"> (400</w:t>
      </w:r>
      <w:r w:rsidR="00D56093">
        <w:rPr>
          <w:b/>
        </w:rPr>
        <w:t xml:space="preserve"> –</w:t>
      </w:r>
      <w:r w:rsidR="009078F8">
        <w:rPr>
          <w:b/>
        </w:rPr>
        <w:t xml:space="preserve"> </w:t>
      </w:r>
      <w:r w:rsidR="00D56093">
        <w:rPr>
          <w:b/>
        </w:rPr>
        <w:t xml:space="preserve">430 </w:t>
      </w:r>
      <w:r w:rsidR="009078F8">
        <w:rPr>
          <w:b/>
        </w:rPr>
        <w:t>City Road)</w:t>
      </w:r>
    </w:p>
    <w:p w:rsidR="001470CA" w:rsidRDefault="007E5A37" w:rsidP="007E5A37">
      <w:pPr>
        <w:pStyle w:val="PPVBody"/>
      </w:pPr>
      <w:r>
        <w:t>After further inspecting the Wadhaw</w:t>
      </w:r>
      <w:r w:rsidR="0059425F">
        <w:t>a</w:t>
      </w:r>
      <w:r>
        <w:t xml:space="preserve">n site and its surrounds, the Review Panel agrees with the submission of Ms Collingwood.  It does not meet the tests of accessibility and usability proposed by Ms Thompson, as it will not be easy to access and use by others external to that site.  </w:t>
      </w:r>
      <w:r w:rsidR="001470CA">
        <w:t>It therefore considers that public open space at this location is not appropriate.</w:t>
      </w:r>
    </w:p>
    <w:p w:rsidR="007E5A37" w:rsidRDefault="007E5A37" w:rsidP="007E5A37">
      <w:pPr>
        <w:pStyle w:val="PPVBody"/>
      </w:pPr>
      <w:r>
        <w:t>This is not to say that the site should not provide open space.  The Review Panel considers the site is large enough to ensure a superior built form outcome that uses the site well, makes the most of its island nature and provides a large area, equivalent to that designated for public open space</w:t>
      </w:r>
      <w:r w:rsidR="001470CA">
        <w:t>,</w:t>
      </w:r>
      <w:r>
        <w:t xml:space="preserve"> to provide walkways, links and communal open spaces, all of which can be publicly accessible to others accessing the tram stop </w:t>
      </w:r>
      <w:r w:rsidR="001470CA">
        <w:t xml:space="preserve">next to the school in Railway Place, </w:t>
      </w:r>
      <w:r>
        <w:t>as well as passing through to the school and other commun</w:t>
      </w:r>
      <w:r w:rsidR="00D56093">
        <w:t xml:space="preserve">ity facilities, </w:t>
      </w:r>
      <w:r w:rsidR="00D265E4">
        <w:t xml:space="preserve">and </w:t>
      </w:r>
      <w:r w:rsidR="00F45F1E">
        <w:t>the Buckhurst Street spine.</w:t>
      </w:r>
    </w:p>
    <w:p w:rsidR="009078F8" w:rsidRPr="00B82C3D" w:rsidRDefault="00B82C3D" w:rsidP="009078F8">
      <w:pPr>
        <w:pStyle w:val="PPVBody"/>
        <w:rPr>
          <w:b/>
        </w:rPr>
      </w:pPr>
      <w:r w:rsidRPr="00B82C3D">
        <w:rPr>
          <w:b/>
        </w:rPr>
        <w:t>Other open spaces</w:t>
      </w:r>
    </w:p>
    <w:p w:rsidR="009078F8" w:rsidRDefault="009078F8" w:rsidP="009078F8">
      <w:pPr>
        <w:pStyle w:val="PPVBody"/>
      </w:pPr>
      <w:r>
        <w:t>The Review Panel supports the revised open space</w:t>
      </w:r>
      <w:r w:rsidR="00B82C3D">
        <w:t>s</w:t>
      </w:r>
      <w:r>
        <w:t xml:space="preserve"> as shown in Figure (vi) of </w:t>
      </w:r>
      <w:r w:rsidR="00986C68">
        <w:t>M1A (refer to Figure 3)</w:t>
      </w:r>
      <w:r>
        <w:t xml:space="preserve">, except for the </w:t>
      </w:r>
      <w:r w:rsidR="00B82C3D">
        <w:t xml:space="preserve">Montague North site and the specific location for the 400 </w:t>
      </w:r>
      <w:r w:rsidR="00C06788">
        <w:t xml:space="preserve">– 430 </w:t>
      </w:r>
      <w:r w:rsidR="00B82C3D">
        <w:t>City Road site.</w:t>
      </w:r>
    </w:p>
    <w:p w:rsidR="00B82C3D" w:rsidRDefault="00B82C3D" w:rsidP="009078F8">
      <w:pPr>
        <w:pStyle w:val="PPVBody"/>
      </w:pPr>
      <w:r>
        <w:t xml:space="preserve">The Review Panel observes that if the </w:t>
      </w:r>
      <w:r w:rsidR="00A16C5D">
        <w:t>whole</w:t>
      </w:r>
      <w:r>
        <w:t xml:space="preserve"> of Montague North is to be design</w:t>
      </w:r>
      <w:r w:rsidR="00986C68">
        <w:t>ated</w:t>
      </w:r>
      <w:r>
        <w:t xml:space="preserve"> as public open space, it will add 9,000 square metres to that total</w:t>
      </w:r>
      <w:r w:rsidR="00A16C5D">
        <w:t xml:space="preserve"> of 64,960 as calculated by Ms Thompson.  The Review Panel </w:t>
      </w:r>
      <w:r w:rsidR="00D265E4">
        <w:t>considers that this is appropriate, given the low provision rate of open space in Montague</w:t>
      </w:r>
      <w:r w:rsidR="00A16C5D">
        <w:t>.</w:t>
      </w:r>
      <w:r w:rsidR="00986C68">
        <w:t xml:space="preserve">  It will also offset some of the proposed increase in dwelling density for Montague.</w:t>
      </w:r>
    </w:p>
    <w:p w:rsidR="00A462FE" w:rsidRDefault="00A462FE" w:rsidP="00A462FE">
      <w:pPr>
        <w:pStyle w:val="Heading2"/>
      </w:pPr>
      <w:bookmarkStart w:id="48" w:name="_Toc519849267"/>
      <w:r>
        <w:t>Findings and recommendations</w:t>
      </w:r>
      <w:bookmarkEnd w:id="48"/>
    </w:p>
    <w:p w:rsidR="00A462FE" w:rsidRDefault="00A462FE" w:rsidP="00A462FE">
      <w:pPr>
        <w:pStyle w:val="PPVBody"/>
      </w:pPr>
      <w:r>
        <w:t>The Review Panel finds:</w:t>
      </w:r>
    </w:p>
    <w:p w:rsidR="00433C0A" w:rsidRDefault="00433C0A" w:rsidP="00A462FE">
      <w:pPr>
        <w:pStyle w:val="PPVBullet1"/>
      </w:pPr>
      <w:r>
        <w:t xml:space="preserve">The allocation of the public open spaces </w:t>
      </w:r>
      <w:r w:rsidR="009078F8">
        <w:t xml:space="preserve">as shown in DM1a </w:t>
      </w:r>
      <w:r>
        <w:t>in Montague is generally sound</w:t>
      </w:r>
      <w:r w:rsidR="00D265E4">
        <w:t xml:space="preserve">.  Open spaces </w:t>
      </w:r>
      <w:r w:rsidR="009078F8">
        <w:t>are well spaced and located.</w:t>
      </w:r>
    </w:p>
    <w:p w:rsidR="00A462FE" w:rsidRDefault="00F45EA2" w:rsidP="00A462FE">
      <w:pPr>
        <w:pStyle w:val="PPVBullet1"/>
      </w:pPr>
      <w:r>
        <w:t xml:space="preserve">There is merit in the </w:t>
      </w:r>
      <w:r w:rsidR="00337C1E">
        <w:t>Port Phillip</w:t>
      </w:r>
      <w:r>
        <w:t xml:space="preserve"> position of providing the major area of public open space in the triangle of the West Gate Freeway, Montague Street and Munro Street</w:t>
      </w:r>
      <w:r w:rsidR="009078F8">
        <w:t xml:space="preserve">, </w:t>
      </w:r>
      <w:r w:rsidR="005F501A">
        <w:t xml:space="preserve">by expanding the proposed open space to the freeway, </w:t>
      </w:r>
      <w:r w:rsidR="009078F8">
        <w:t>supported by a P</w:t>
      </w:r>
      <w:r w:rsidR="00523129">
        <w:t>recinct wide Sport and Recreation Hub.</w:t>
      </w:r>
    </w:p>
    <w:p w:rsidR="00A462FE" w:rsidRDefault="00523129" w:rsidP="00A462FE">
      <w:pPr>
        <w:pStyle w:val="PPVBullet1"/>
      </w:pPr>
      <w:r>
        <w:t>The central spine of open space along the tram line between Woodgate and Gladstone Streets is supported.</w:t>
      </w:r>
    </w:p>
    <w:p w:rsidR="00A462FE" w:rsidRDefault="00523129" w:rsidP="00591580">
      <w:pPr>
        <w:pStyle w:val="PPVBullet1"/>
      </w:pPr>
      <w:r>
        <w:t xml:space="preserve">The location of Montague Park </w:t>
      </w:r>
      <w:r w:rsidR="005F501A">
        <w:t xml:space="preserve">(diagonally opposite the school) </w:t>
      </w:r>
      <w:r>
        <w:t>and its extension to the north of the tram line is supported.</w:t>
      </w:r>
    </w:p>
    <w:p w:rsidR="007E5A37" w:rsidRDefault="007E5A37" w:rsidP="00A462FE">
      <w:pPr>
        <w:pStyle w:val="PPVBullet1"/>
      </w:pPr>
      <w:r>
        <w:t xml:space="preserve">The designation of open space on the </w:t>
      </w:r>
      <w:r w:rsidR="00D265E4">
        <w:t xml:space="preserve">Wadhawan </w:t>
      </w:r>
      <w:r w:rsidR="00986C68">
        <w:t xml:space="preserve">Holdings </w:t>
      </w:r>
      <w:r>
        <w:t xml:space="preserve">site </w:t>
      </w:r>
      <w:r w:rsidR="00C06788">
        <w:t xml:space="preserve">at 400 – 430 City Road </w:t>
      </w:r>
      <w:r>
        <w:t xml:space="preserve">should be </w:t>
      </w:r>
      <w:r w:rsidR="00505C65">
        <w:t>retained, but a note added to show that it is</w:t>
      </w:r>
      <w:r w:rsidR="00B82C3D">
        <w:t xml:space="preserve"> </w:t>
      </w:r>
      <w:r w:rsidR="00D265E4">
        <w:t xml:space="preserve">communal open space to be accessible to the public, and in an </w:t>
      </w:r>
      <w:r w:rsidR="00505C65">
        <w:t>indicative</w:t>
      </w:r>
      <w:r w:rsidR="00B82C3D">
        <w:t xml:space="preserve"> location only</w:t>
      </w:r>
      <w:r w:rsidR="00F44375">
        <w:t>, subject to site design</w:t>
      </w:r>
      <w:r w:rsidR="00505C65">
        <w:t>.</w:t>
      </w:r>
      <w:r w:rsidR="00F44375">
        <w:t xml:space="preserve">  It should not be counted as being public open space, but it should provide a link </w:t>
      </w:r>
      <w:r w:rsidR="00D265E4">
        <w:t xml:space="preserve">from </w:t>
      </w:r>
      <w:r w:rsidR="00F44375">
        <w:t>City Road though to the tram stop.</w:t>
      </w:r>
    </w:p>
    <w:p w:rsidR="00D56093" w:rsidRDefault="00D56093" w:rsidP="00A462FE">
      <w:pPr>
        <w:pStyle w:val="PPVBullet1"/>
      </w:pPr>
      <w:r>
        <w:t>Any future update of the draft Framework should make the public open space changes accordingly.</w:t>
      </w:r>
    </w:p>
    <w:p w:rsidR="00986C68" w:rsidRDefault="00986C68" w:rsidP="00A462FE">
      <w:pPr>
        <w:pStyle w:val="PPVBody"/>
      </w:pPr>
    </w:p>
    <w:p w:rsidR="00A462FE" w:rsidRDefault="00A462FE" w:rsidP="00A462FE">
      <w:pPr>
        <w:pStyle w:val="PPVBody"/>
      </w:pPr>
      <w:r>
        <w:lastRenderedPageBreak/>
        <w:t>The Review Panel recommends</w:t>
      </w:r>
      <w:r w:rsidRPr="0077313B">
        <w:t>:</w:t>
      </w:r>
    </w:p>
    <w:p w:rsidR="007E2B8E" w:rsidRDefault="007E2B8E" w:rsidP="00AC679F">
      <w:pPr>
        <w:pStyle w:val="PPVRecommendation"/>
      </w:pPr>
      <w:bookmarkStart w:id="49" w:name="_Toc519605124"/>
      <w:bookmarkStart w:id="50" w:name="_Toc519607370"/>
      <w:bookmarkStart w:id="51" w:name="_Toc519614923"/>
      <w:bookmarkStart w:id="52" w:name="_Toc519688367"/>
      <w:bookmarkStart w:id="53" w:name="_Toc519689011"/>
      <w:bookmarkStart w:id="54" w:name="_Toc519782033"/>
      <w:bookmarkStart w:id="55" w:name="_Toc519788982"/>
      <w:bookmarkStart w:id="56" w:name="_Toc519841831"/>
      <w:bookmarkStart w:id="57" w:name="_Toc519849309"/>
      <w:bookmarkStart w:id="58" w:name="_Toc519577343"/>
      <w:r>
        <w:t>Amend Map 2 to the Montague Design and Development Overlay to show</w:t>
      </w:r>
      <w:r w:rsidR="00AC679F">
        <w:t xml:space="preserve"> the whole of the Montague North site as public open space</w:t>
      </w:r>
      <w:r>
        <w:t>.</w:t>
      </w:r>
      <w:bookmarkEnd w:id="49"/>
      <w:bookmarkEnd w:id="50"/>
      <w:bookmarkEnd w:id="51"/>
      <w:bookmarkEnd w:id="52"/>
      <w:bookmarkEnd w:id="53"/>
      <w:bookmarkEnd w:id="54"/>
      <w:bookmarkEnd w:id="55"/>
      <w:bookmarkEnd w:id="56"/>
      <w:bookmarkEnd w:id="57"/>
    </w:p>
    <w:p w:rsidR="00AC679F" w:rsidRDefault="00AC679F" w:rsidP="00AC679F">
      <w:pPr>
        <w:pStyle w:val="PPVRecommendation"/>
      </w:pPr>
      <w:bookmarkStart w:id="59" w:name="_Toc519577344"/>
      <w:bookmarkStart w:id="60" w:name="_Toc519605125"/>
      <w:bookmarkStart w:id="61" w:name="_Toc519607371"/>
      <w:bookmarkStart w:id="62" w:name="_Toc519614924"/>
      <w:bookmarkStart w:id="63" w:name="_Toc519688368"/>
      <w:bookmarkStart w:id="64" w:name="_Toc519689012"/>
      <w:bookmarkStart w:id="65" w:name="_Toc519782034"/>
      <w:bookmarkStart w:id="66" w:name="_Toc519788983"/>
      <w:bookmarkStart w:id="67" w:name="_Toc519841832"/>
      <w:bookmarkStart w:id="68" w:name="_Toc519849310"/>
      <w:bookmarkEnd w:id="58"/>
      <w:r>
        <w:t xml:space="preserve">Amend Map </w:t>
      </w:r>
      <w:r w:rsidR="007E2B8E">
        <w:t>2</w:t>
      </w:r>
      <w:r>
        <w:t xml:space="preserve"> to </w:t>
      </w:r>
      <w:r w:rsidR="007E2B8E">
        <w:t xml:space="preserve">the Montague Design and Development Overlay to </w:t>
      </w:r>
      <w:r>
        <w:t xml:space="preserve">show the open space designation </w:t>
      </w:r>
      <w:r w:rsidR="007E2B8E">
        <w:t>on</w:t>
      </w:r>
      <w:r>
        <w:t xml:space="preserve"> the site at 400 </w:t>
      </w:r>
      <w:r w:rsidR="00C06788">
        <w:t xml:space="preserve">– 430 </w:t>
      </w:r>
      <w:r>
        <w:t xml:space="preserve">City Road </w:t>
      </w:r>
      <w:r w:rsidR="007E2B8E">
        <w:t>a</w:t>
      </w:r>
      <w:r>
        <w:t xml:space="preserve">s </w:t>
      </w:r>
      <w:r w:rsidR="007E2B8E">
        <w:t>‘</w:t>
      </w:r>
      <w:r w:rsidR="00D265E4">
        <w:t xml:space="preserve">communal open space – location </w:t>
      </w:r>
      <w:r w:rsidR="007E2B8E">
        <w:t>indicative</w:t>
      </w:r>
      <w:r>
        <w:t>, subject to site design</w:t>
      </w:r>
      <w:r w:rsidR="007E2B8E">
        <w:t>’</w:t>
      </w:r>
      <w:r>
        <w:t>.</w:t>
      </w:r>
      <w:bookmarkEnd w:id="59"/>
      <w:bookmarkEnd w:id="60"/>
      <w:bookmarkEnd w:id="61"/>
      <w:bookmarkEnd w:id="62"/>
      <w:bookmarkEnd w:id="63"/>
      <w:bookmarkEnd w:id="64"/>
      <w:bookmarkEnd w:id="65"/>
      <w:bookmarkEnd w:id="66"/>
      <w:bookmarkEnd w:id="67"/>
      <w:bookmarkEnd w:id="68"/>
    </w:p>
    <w:p w:rsidR="00A462FE" w:rsidRPr="00233351" w:rsidRDefault="00F948F4" w:rsidP="00A462FE">
      <w:pPr>
        <w:pStyle w:val="Heading1"/>
      </w:pPr>
      <w:bookmarkStart w:id="69" w:name="_Toc519605129"/>
      <w:bookmarkStart w:id="70" w:name="_Toc519849268"/>
      <w:bookmarkEnd w:id="69"/>
      <w:r>
        <w:lastRenderedPageBreak/>
        <w:t>Location of hubs</w:t>
      </w:r>
      <w:bookmarkEnd w:id="70"/>
    </w:p>
    <w:p w:rsidR="00A462FE" w:rsidRDefault="00A462FE" w:rsidP="00A462FE">
      <w:pPr>
        <w:pStyle w:val="Heading2"/>
      </w:pPr>
      <w:bookmarkStart w:id="71" w:name="_Toc519849269"/>
      <w:r>
        <w:t>Context</w:t>
      </w:r>
      <w:bookmarkEnd w:id="71"/>
    </w:p>
    <w:p w:rsidR="00A462FE" w:rsidRDefault="00742CE3" w:rsidP="00A462FE">
      <w:pPr>
        <w:pStyle w:val="PPVBody"/>
      </w:pPr>
      <w:r>
        <w:t xml:space="preserve">The </w:t>
      </w:r>
      <w:r w:rsidR="00D265E4">
        <w:t xml:space="preserve">draft </w:t>
      </w:r>
      <w:r>
        <w:t xml:space="preserve">Framework provides </w:t>
      </w:r>
      <w:r w:rsidR="00D55CC5">
        <w:t xml:space="preserve">for </w:t>
      </w:r>
      <w:r>
        <w:t>three ‘Investigation areas – Montague Arts and Cultural Hub’</w:t>
      </w:r>
      <w:r w:rsidR="002D4702">
        <w:t xml:space="preserve"> centred around Montague, Buckhurst and Gladstone Streets.</w:t>
      </w:r>
    </w:p>
    <w:p w:rsidR="00A462FE" w:rsidRDefault="002D4702" w:rsidP="00A462FE">
      <w:pPr>
        <w:pStyle w:val="PPVBody"/>
      </w:pPr>
      <w:r>
        <w:t>A further ‘Investigation area - Sports and Recreation Hub’ is centred north-west of Normanby Road to the West Gate Freeway and Johnson Street.  Part of this Hub inc</w:t>
      </w:r>
      <w:r w:rsidR="00F45F1E">
        <w:t>ludes the Montague North Park.</w:t>
      </w:r>
    </w:p>
    <w:p w:rsidR="002D4702" w:rsidRDefault="002D4702" w:rsidP="00A462FE">
      <w:pPr>
        <w:pStyle w:val="PPVBody"/>
      </w:pPr>
      <w:r>
        <w:t xml:space="preserve">The Ferrars Street Education and Community Hub is now operational to the extent that the primary school was opened early 2018.  The </w:t>
      </w:r>
      <w:r w:rsidR="00D265E4">
        <w:t xml:space="preserve">location of the Investigation Area for this Hub is therefore appropriate, and the </w:t>
      </w:r>
      <w:r>
        <w:t xml:space="preserve">Review Panel finds there is no reason to further discuss this </w:t>
      </w:r>
      <w:r w:rsidR="00D265E4">
        <w:t xml:space="preserve">hub investigation </w:t>
      </w:r>
      <w:r>
        <w:t>area.</w:t>
      </w:r>
    </w:p>
    <w:p w:rsidR="002D4702" w:rsidRDefault="002D4702" w:rsidP="002D4702">
      <w:pPr>
        <w:pStyle w:val="PPVBody"/>
      </w:pPr>
      <w:r>
        <w:t>The key issues to be addressed are</w:t>
      </w:r>
      <w:r w:rsidR="00C06788">
        <w:t xml:space="preserve"> the locations of the</w:t>
      </w:r>
      <w:r>
        <w:t>:</w:t>
      </w:r>
    </w:p>
    <w:p w:rsidR="002D4702" w:rsidRDefault="002D4702" w:rsidP="002D4702">
      <w:pPr>
        <w:pStyle w:val="PPVBullet1"/>
      </w:pPr>
      <w:r>
        <w:t>Arts and Cultural Hub</w:t>
      </w:r>
    </w:p>
    <w:p w:rsidR="002D4702" w:rsidRPr="00960588" w:rsidRDefault="002D4702" w:rsidP="002D4702">
      <w:pPr>
        <w:pStyle w:val="PPVBullet1"/>
      </w:pPr>
      <w:r>
        <w:t>Sports and Recreation Hub.</w:t>
      </w:r>
    </w:p>
    <w:p w:rsidR="00A462FE" w:rsidRDefault="00A462FE" w:rsidP="00A462FE">
      <w:pPr>
        <w:pStyle w:val="Heading2"/>
      </w:pPr>
      <w:bookmarkStart w:id="72" w:name="_Toc519849270"/>
      <w:r w:rsidRPr="00445060">
        <w:t>Submissions</w:t>
      </w:r>
      <w:r>
        <w:t xml:space="preserve"> and evidence</w:t>
      </w:r>
      <w:bookmarkEnd w:id="72"/>
    </w:p>
    <w:p w:rsidR="00A462FE" w:rsidRPr="002D4702" w:rsidRDefault="002D4702" w:rsidP="00A462FE">
      <w:pPr>
        <w:pStyle w:val="PPVBody"/>
        <w:rPr>
          <w:b/>
        </w:rPr>
      </w:pPr>
      <w:r w:rsidRPr="002D4702">
        <w:rPr>
          <w:b/>
        </w:rPr>
        <w:t>Arts and Cultural Hub</w:t>
      </w:r>
    </w:p>
    <w:p w:rsidR="00230EE7" w:rsidRDefault="00B31A29" w:rsidP="00230EE7">
      <w:pPr>
        <w:pStyle w:val="PPVBody"/>
      </w:pPr>
      <w:r>
        <w:t xml:space="preserve">Port Phillip </w:t>
      </w:r>
      <w:r w:rsidR="00230EE7">
        <w:t>submitted that:</w:t>
      </w:r>
    </w:p>
    <w:p w:rsidR="00230EE7" w:rsidRDefault="00230EE7" w:rsidP="00230EE7">
      <w:pPr>
        <w:pStyle w:val="PPVQuote"/>
      </w:pPr>
      <w:r>
        <w:t>The existing Continuing Education School (a heritage building) on the north-west corner of Montague Street and Buckhurst Street should be specifically shown as a proposed Art and Cultural Hub.  The Hub should be co-located with the existing school, or located on the site as a stand-alone facility if the school relocates.</w:t>
      </w:r>
      <w:r w:rsidR="003223A2" w:rsidRPr="003223A2">
        <w:rPr>
          <w:rStyle w:val="FootnoteReference"/>
        </w:rPr>
        <w:t xml:space="preserve"> </w:t>
      </w:r>
      <w:r w:rsidR="003223A2">
        <w:rPr>
          <w:rStyle w:val="FootnoteReference"/>
        </w:rPr>
        <w:footnoteReference w:id="13"/>
      </w:r>
    </w:p>
    <w:p w:rsidR="00230EE7" w:rsidRDefault="00230EE7" w:rsidP="00230EE7">
      <w:pPr>
        <w:pStyle w:val="PPVBody"/>
      </w:pPr>
      <w:r>
        <w:t>Mr Montebello argued that the site did not need to be shown as an investigation area as the State already owns it.</w:t>
      </w:r>
    </w:p>
    <w:p w:rsidR="00A462FE" w:rsidRDefault="000A400E" w:rsidP="00A462FE">
      <w:pPr>
        <w:pStyle w:val="PPVBody"/>
      </w:pPr>
      <w:r>
        <w:t>In c</w:t>
      </w:r>
      <w:r w:rsidR="005F7B5A">
        <w:t>losing</w:t>
      </w:r>
      <w:r w:rsidR="00D56093">
        <w:t xml:space="preserve"> for Montague</w:t>
      </w:r>
      <w:r w:rsidR="005F7B5A">
        <w:t>, the Minister noted he w</w:t>
      </w:r>
      <w:r>
        <w:t xml:space="preserve">ished </w:t>
      </w:r>
      <w:r w:rsidR="005F7B5A" w:rsidRPr="005F7B5A">
        <w:rPr>
          <w:i/>
        </w:rPr>
        <w:t xml:space="preserve">“ … </w:t>
      </w:r>
      <w:r w:rsidRPr="005F7B5A">
        <w:rPr>
          <w:i/>
        </w:rPr>
        <w:t xml:space="preserve">to preserve the opportunity for the arts and community hub to be </w:t>
      </w:r>
      <w:r w:rsidR="005F7B5A" w:rsidRPr="005F7B5A">
        <w:rPr>
          <w:i/>
        </w:rPr>
        <w:t>provided within the investigation area as part of the FAU scheme”.</w:t>
      </w:r>
      <w:r w:rsidR="005F7B5A">
        <w:t xml:space="preserve"> </w:t>
      </w:r>
      <w:r w:rsidR="00D56093">
        <w:t xml:space="preserve"> The situation regarding the FAU scheme and the potential for FAU and what it might include has changed since this closing statement.</w:t>
      </w:r>
    </w:p>
    <w:p w:rsidR="002D4702" w:rsidRPr="002D4702" w:rsidRDefault="002D4702" w:rsidP="00A462FE">
      <w:pPr>
        <w:pStyle w:val="PPVBody"/>
        <w:rPr>
          <w:b/>
        </w:rPr>
      </w:pPr>
      <w:r w:rsidRPr="002D4702">
        <w:rPr>
          <w:b/>
        </w:rPr>
        <w:t>Sports and Recreation Hub</w:t>
      </w:r>
    </w:p>
    <w:p w:rsidR="002D4702" w:rsidRDefault="00C32E93" w:rsidP="00A462FE">
      <w:pPr>
        <w:pStyle w:val="PPVBody"/>
      </w:pPr>
      <w:r>
        <w:t>While seeking to nominate the whole of the Montague North Park site for public open space, Port Phillip further sought to amend the building heights of 24 and 6 storeys from the northern edge in the DDO.  Port Phillip sought a maximum 6 storey height to allow a recreation building that did not overshadow t</w:t>
      </w:r>
      <w:r w:rsidR="00F45F1E">
        <w:t>he public open space component.</w:t>
      </w:r>
    </w:p>
    <w:p w:rsidR="00F45F1E" w:rsidRDefault="00F45F1E">
      <w:pPr>
        <w:spacing w:before="0"/>
        <w:jc w:val="left"/>
        <w:rPr>
          <w:rFonts w:eastAsia="Dotum"/>
          <w:b/>
          <w:kern w:val="32"/>
          <w:sz w:val="28"/>
          <w:szCs w:val="28"/>
        </w:rPr>
      </w:pPr>
      <w:r>
        <w:br w:type="page"/>
      </w:r>
    </w:p>
    <w:p w:rsidR="00A462FE" w:rsidRPr="00445060" w:rsidRDefault="00A462FE" w:rsidP="00A462FE">
      <w:pPr>
        <w:pStyle w:val="Heading2"/>
      </w:pPr>
      <w:bookmarkStart w:id="73" w:name="_Toc519849271"/>
      <w:r w:rsidRPr="00445060">
        <w:lastRenderedPageBreak/>
        <w:t>Discussion</w:t>
      </w:r>
      <w:bookmarkEnd w:id="73"/>
    </w:p>
    <w:p w:rsidR="00A462FE" w:rsidRDefault="002D4702" w:rsidP="00A462FE">
      <w:pPr>
        <w:pStyle w:val="PPVBody"/>
      </w:pPr>
      <w:r w:rsidRPr="002D4702">
        <w:rPr>
          <w:b/>
        </w:rPr>
        <w:t>Arts and Cultural Hub</w:t>
      </w:r>
    </w:p>
    <w:p w:rsidR="00A462FE" w:rsidRDefault="00230EE7" w:rsidP="00A462FE">
      <w:pPr>
        <w:pStyle w:val="PPVBody"/>
      </w:pPr>
      <w:r>
        <w:t xml:space="preserve">The Review Panel considers that where existing infrastructure can be used to provide community facilities, it should be pursued in the first instance to determine whether it is feasible and practical.  Issues to be taken into account (include but are not limited to) </w:t>
      </w:r>
      <w:r w:rsidR="00B67EE9">
        <w:t xml:space="preserve">include </w:t>
      </w:r>
      <w:r>
        <w:t xml:space="preserve">the land </w:t>
      </w:r>
      <w:r w:rsidR="00C06788">
        <w:t xml:space="preserve">ownership </w:t>
      </w:r>
      <w:r>
        <w:t>(public or private), current uses on the site, opportunities for bringing forward its ultimate use</w:t>
      </w:r>
      <w:r w:rsidR="00B67EE9">
        <w:t>, synergies with other uses</w:t>
      </w:r>
      <w:r>
        <w:t xml:space="preserve"> and cost of acquisition.</w:t>
      </w:r>
    </w:p>
    <w:p w:rsidR="00230EE7" w:rsidRDefault="00D56093" w:rsidP="00A462FE">
      <w:pPr>
        <w:pStyle w:val="PPVBody"/>
      </w:pPr>
      <w:r>
        <w:t>The</w:t>
      </w:r>
      <w:r w:rsidR="00230EE7">
        <w:t xml:space="preserve"> Montague Cont</w:t>
      </w:r>
      <w:r>
        <w:t>inuing Education School site</w:t>
      </w:r>
      <w:r w:rsidR="00230EE7">
        <w:t xml:space="preserve"> is well located within the Precinct and is currently used for public purposes.  </w:t>
      </w:r>
      <w:r w:rsidR="00B67EE9">
        <w:t>It abuts a proposed area of open space linking Gladstone and Buckhurst Street</w:t>
      </w:r>
      <w:r w:rsidR="00573500">
        <w:t xml:space="preserve">s. </w:t>
      </w:r>
      <w:r w:rsidR="00B67EE9">
        <w:t xml:space="preserve"> </w:t>
      </w:r>
      <w:r w:rsidR="00230EE7">
        <w:t>Port Phillip submitted it is an ideal site for a community hub and the Review Panel agrees.</w:t>
      </w:r>
    </w:p>
    <w:p w:rsidR="002D4702" w:rsidRPr="002D4702" w:rsidRDefault="002D4702" w:rsidP="002D4702">
      <w:pPr>
        <w:pStyle w:val="PPVBody"/>
        <w:rPr>
          <w:b/>
        </w:rPr>
      </w:pPr>
      <w:r w:rsidRPr="002D4702">
        <w:rPr>
          <w:b/>
        </w:rPr>
        <w:t>Sports and Recreation Hub</w:t>
      </w:r>
    </w:p>
    <w:p w:rsidR="00C32E93" w:rsidRDefault="00C32E93" w:rsidP="00A462FE">
      <w:pPr>
        <w:pStyle w:val="PPVBody"/>
      </w:pPr>
      <w:r>
        <w:t>The Minister supported Port Phillip’s proposal in part, in that the overall height should be reduced from 24 to 12 storeys to prevent overshadowing.  While not accepting that 6 storeys is warranted, the Minister agreed to the designation of the land as a potential community hub or for it to be used as affordable housing.  He did not agree to expand the totality of the open space over the whole site and noted he wishes to:</w:t>
      </w:r>
    </w:p>
    <w:p w:rsidR="00C32E93" w:rsidRDefault="00C32E93" w:rsidP="00C32E93">
      <w:pPr>
        <w:pStyle w:val="PPVQuote"/>
      </w:pPr>
      <w:r>
        <w:t xml:space="preserve">… preserve the opportunity to deliver social housing ort other community infrastructure on this parcel of Government owned land in </w:t>
      </w:r>
      <w:r w:rsidR="005F1CB6">
        <w:t>addition</w:t>
      </w:r>
      <w:r w:rsidR="00F45F1E">
        <w:t xml:space="preserve"> to open space.</w:t>
      </w:r>
      <w:r w:rsidR="005F1CB6">
        <w:rPr>
          <w:rStyle w:val="FootnoteReference"/>
        </w:rPr>
        <w:footnoteReference w:id="14"/>
      </w:r>
    </w:p>
    <w:p w:rsidR="00B34A06" w:rsidRDefault="00B34A06" w:rsidP="00A462FE">
      <w:pPr>
        <w:pStyle w:val="PPVBody"/>
      </w:pPr>
      <w:r>
        <w:t xml:space="preserve">There </w:t>
      </w:r>
      <w:r w:rsidR="00505C65">
        <w:t>was</w:t>
      </w:r>
      <w:r>
        <w:t xml:space="preserve"> no dispute amongst submitters that Montague North Park should be located as designated in the draft Framework.  </w:t>
      </w:r>
      <w:r w:rsidR="000D35C8">
        <w:t>T</w:t>
      </w:r>
      <w:r w:rsidR="00C32E93">
        <w:t xml:space="preserve">he </w:t>
      </w:r>
      <w:r>
        <w:t xml:space="preserve">key issues to be resolved is the extent of that Park and whether it should be </w:t>
      </w:r>
      <w:r w:rsidR="002F2175">
        <w:t>co-</w:t>
      </w:r>
      <w:r>
        <w:t>located with the Sports and Recreation Hub</w:t>
      </w:r>
      <w:r w:rsidR="00C32E93">
        <w:t>, as proposed by Port Phillip</w:t>
      </w:r>
      <w:r>
        <w:t>.  The Review Panel agrees wit</w:t>
      </w:r>
      <w:r w:rsidR="00F45F1E">
        <w:t>h Port Phillip that it should.</w:t>
      </w:r>
    </w:p>
    <w:p w:rsidR="002D4702" w:rsidRDefault="00B34A06" w:rsidP="00A462FE">
      <w:pPr>
        <w:pStyle w:val="PPVBody"/>
      </w:pPr>
      <w:r>
        <w:t xml:space="preserve">The site is large enough to be a well-planned precinct with considerable opportunity to be the </w:t>
      </w:r>
      <w:r w:rsidR="00C32E93">
        <w:t>precinct wide</w:t>
      </w:r>
      <w:r>
        <w:t xml:space="preserve"> large open space</w:t>
      </w:r>
      <w:r w:rsidR="00C32E93">
        <w:t>, complemented by a</w:t>
      </w:r>
      <w:r>
        <w:t xml:space="preserve"> ‘high ball’ recreation and sports activity area </w:t>
      </w:r>
      <w:r w:rsidR="00C32E93">
        <w:t>to serve</w:t>
      </w:r>
      <w:r>
        <w:t xml:space="preserve"> Montague.  It does not impose any amenity constraints as it abuts the West Gate Freeway and Montague Street.  It has the significant advantage that it is located wholly on Government owned land and that it can be development ready as the population increases in Montague.  It will complement the developing Montague Park south of the tram line and will ensure the opportunity for significant open space and recreation facilities.  In short it makes use of an area that can take advantage of a large space encumbered by its abuttal against a freeway.</w:t>
      </w:r>
      <w:r w:rsidR="002C0FDA">
        <w:t xml:space="preserve">  The Review Panel is less enamoured to support </w:t>
      </w:r>
      <w:r w:rsidR="006C7CAF">
        <w:t xml:space="preserve">the site for </w:t>
      </w:r>
      <w:r w:rsidR="002C0FDA">
        <w:t>social or affordable housing abutting a freeway.</w:t>
      </w:r>
    </w:p>
    <w:p w:rsidR="00F45F1E" w:rsidRDefault="00F45F1E">
      <w:pPr>
        <w:spacing w:before="0"/>
        <w:jc w:val="left"/>
        <w:rPr>
          <w:rFonts w:eastAsia="Dotum"/>
          <w:b/>
          <w:kern w:val="32"/>
          <w:sz w:val="28"/>
          <w:szCs w:val="28"/>
        </w:rPr>
      </w:pPr>
      <w:r>
        <w:br w:type="page"/>
      </w:r>
    </w:p>
    <w:p w:rsidR="00A462FE" w:rsidRDefault="00A462FE" w:rsidP="00A462FE">
      <w:pPr>
        <w:pStyle w:val="Heading2"/>
      </w:pPr>
      <w:bookmarkStart w:id="74" w:name="_Toc519849272"/>
      <w:r>
        <w:lastRenderedPageBreak/>
        <w:t>Findings</w:t>
      </w:r>
      <w:bookmarkEnd w:id="74"/>
    </w:p>
    <w:p w:rsidR="00A462FE" w:rsidRDefault="00A462FE" w:rsidP="00A462FE">
      <w:pPr>
        <w:pStyle w:val="PPVBody"/>
      </w:pPr>
      <w:r>
        <w:t>The Review Panel finds:</w:t>
      </w:r>
    </w:p>
    <w:p w:rsidR="00A462FE" w:rsidRDefault="00BC58C4" w:rsidP="00A462FE">
      <w:pPr>
        <w:pStyle w:val="PPVBullet1"/>
      </w:pPr>
      <w:r>
        <w:t xml:space="preserve">There is merit in the Arts and Cultural Hub being located </w:t>
      </w:r>
      <w:r w:rsidR="000D1342">
        <w:t xml:space="preserve">on the site of the existing school at </w:t>
      </w:r>
      <w:r>
        <w:t>Montague Street as per Councils proposed urban structure</w:t>
      </w:r>
      <w:r w:rsidR="002D539D">
        <w:t>, however no change to the draft Amendment or draft Framework is required</w:t>
      </w:r>
      <w:r w:rsidR="00C06788">
        <w:t>.</w:t>
      </w:r>
    </w:p>
    <w:p w:rsidR="00B34A06" w:rsidRDefault="00B34A06" w:rsidP="00B34A06">
      <w:pPr>
        <w:pStyle w:val="PPVBullet1"/>
      </w:pPr>
      <w:r>
        <w:t>The Review Panel supports Port Phillip’s proposal to provide for the Sport and Recreation Hub in the Montague North open space area.</w:t>
      </w:r>
    </w:p>
    <w:p w:rsidR="00A462FE" w:rsidRPr="00233351" w:rsidRDefault="00F948F4" w:rsidP="00A462FE">
      <w:pPr>
        <w:pStyle w:val="Heading1"/>
      </w:pPr>
      <w:bookmarkStart w:id="75" w:name="_Toc519849273"/>
      <w:r>
        <w:lastRenderedPageBreak/>
        <w:t>Overshadowing</w:t>
      </w:r>
      <w:bookmarkEnd w:id="75"/>
    </w:p>
    <w:p w:rsidR="00A462FE" w:rsidRDefault="00A462FE" w:rsidP="00A462FE">
      <w:pPr>
        <w:pStyle w:val="Heading2"/>
      </w:pPr>
      <w:bookmarkStart w:id="76" w:name="_Toc519849274"/>
      <w:r>
        <w:t>Context</w:t>
      </w:r>
      <w:bookmarkEnd w:id="76"/>
    </w:p>
    <w:p w:rsidR="00A462FE" w:rsidRDefault="003D21C5" w:rsidP="00A462FE">
      <w:pPr>
        <w:pStyle w:val="PPVBody"/>
      </w:pPr>
      <w:r>
        <w:t xml:space="preserve">Two specific issues were raised </w:t>
      </w:r>
      <w:r w:rsidR="00C06788">
        <w:t>regarding</w:t>
      </w:r>
      <w:r w:rsidR="00045DC9">
        <w:t xml:space="preserve"> overshadowing.  The first relates to the potential for taller building forms to overshadow Buckhurst Street and the second for the proposed buildings on the corner of City Road and Cecil Street to overshadow areas to the south, including the South Melbourne Market. </w:t>
      </w:r>
      <w:r w:rsidR="00593519">
        <w:t xml:space="preserve"> These areas are protected from overshadow</w:t>
      </w:r>
      <w:r w:rsidR="00601DC4">
        <w:t>ing</w:t>
      </w:r>
      <w:r w:rsidR="00593519">
        <w:t xml:space="preserve"> by </w:t>
      </w:r>
      <w:r w:rsidR="00986C68">
        <w:t>DDO</w:t>
      </w:r>
      <w:r w:rsidR="00593519">
        <w:t>8 to th</w:t>
      </w:r>
      <w:r w:rsidR="00F45F1E">
        <w:t>e Port Phillip Planning Scheme.</w:t>
      </w:r>
    </w:p>
    <w:p w:rsidR="00A462FE" w:rsidRDefault="00A462FE" w:rsidP="00A462FE">
      <w:pPr>
        <w:pStyle w:val="Heading2"/>
      </w:pPr>
      <w:bookmarkStart w:id="77" w:name="_Toc519849275"/>
      <w:r w:rsidRPr="00445060">
        <w:t>Submissions</w:t>
      </w:r>
      <w:r>
        <w:t xml:space="preserve"> and evidence</w:t>
      </w:r>
      <w:bookmarkEnd w:id="77"/>
    </w:p>
    <w:p w:rsidR="00A462FE" w:rsidRPr="00045DC9" w:rsidRDefault="00F45F1E" w:rsidP="00A462FE">
      <w:pPr>
        <w:pStyle w:val="PPVBody"/>
        <w:rPr>
          <w:b/>
        </w:rPr>
      </w:pPr>
      <w:r>
        <w:rPr>
          <w:b/>
        </w:rPr>
        <w:t>Buckhurst Street</w:t>
      </w:r>
    </w:p>
    <w:p w:rsidR="00E649BF" w:rsidRDefault="00E649BF" w:rsidP="00A462FE">
      <w:pPr>
        <w:pStyle w:val="PPVBody"/>
      </w:pPr>
      <w:r>
        <w:t xml:space="preserve">Port Phillip submitted that </w:t>
      </w:r>
      <w:r w:rsidR="00660F74">
        <w:t xml:space="preserve">in the Montague retail core, </w:t>
      </w:r>
      <w:r w:rsidR="00660F74" w:rsidRPr="00660F74">
        <w:rPr>
          <w:i/>
        </w:rPr>
        <w:t>“Consideration be given to a different approach to the traditional street wall and tower setback approach for Buckhurst Street between Montague Street and Ferrars Street to create a diversity of heights at the str</w:t>
      </w:r>
      <w:r w:rsidR="00D56093">
        <w:rPr>
          <w:i/>
        </w:rPr>
        <w:t>eet interface and maximise</w:t>
      </w:r>
      <w:r w:rsidR="00660F74" w:rsidRPr="00660F74">
        <w:rPr>
          <w:i/>
        </w:rPr>
        <w:t xml:space="preserve"> sunlight penetration.”  </w:t>
      </w:r>
      <w:r w:rsidR="00660F74" w:rsidRPr="00660F74">
        <w:t xml:space="preserve">It </w:t>
      </w:r>
      <w:r w:rsidR="00660F74">
        <w:t xml:space="preserve">argued that the heights should be lowered from 20 to 12 storeys on the north side of Buckhurst Street and to apply the ‘tooth and gap’ building typology. </w:t>
      </w:r>
      <w:r w:rsidR="00D246C6">
        <w:t xml:space="preserve"> Figure 4 shows the tooth and gap typology and preferred heights sought by Port Phillip.</w:t>
      </w:r>
    </w:p>
    <w:p w:rsidR="00D246C6" w:rsidRPr="001811DC" w:rsidRDefault="001811DC" w:rsidP="001811DC">
      <w:pPr>
        <w:pStyle w:val="Caption"/>
      </w:pPr>
      <w:r>
        <w:t xml:space="preserve">Figure </w:t>
      </w:r>
      <w:r w:rsidR="00176015">
        <w:t xml:space="preserve">4: </w:t>
      </w:r>
      <w:r w:rsidR="00176015">
        <w:tab/>
        <w:t>T</w:t>
      </w:r>
      <w:r>
        <w:t>ooth and gap t</w:t>
      </w:r>
      <w:r w:rsidR="00176015">
        <w:t>ypology, with preferred heights</w:t>
      </w:r>
    </w:p>
    <w:p w:rsidR="00D246C6" w:rsidRPr="00660F74" w:rsidRDefault="00D246C6" w:rsidP="00D246C6">
      <w:pPr>
        <w:autoSpaceDE w:val="0"/>
        <w:autoSpaceDN w:val="0"/>
        <w:adjustRightInd w:val="0"/>
        <w:spacing w:before="0"/>
        <w:jc w:val="left"/>
      </w:pPr>
      <w:r>
        <w:rPr>
          <w:rFonts w:ascii="Helv" w:hAnsi="Helv" w:cs="Helv"/>
          <w:color w:val="000000"/>
          <w:sz w:val="20"/>
          <w:szCs w:val="20"/>
        </w:rPr>
        <w:drawing>
          <wp:inline distT="0" distB="0" distL="0" distR="0">
            <wp:extent cx="5998210" cy="34309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8210" cy="3430905"/>
                    </a:xfrm>
                    <a:prstGeom prst="rect">
                      <a:avLst/>
                    </a:prstGeom>
                    <a:noFill/>
                    <a:ln>
                      <a:noFill/>
                    </a:ln>
                  </pic:spPr>
                </pic:pic>
              </a:graphicData>
            </a:graphic>
          </wp:inline>
        </w:drawing>
      </w:r>
    </w:p>
    <w:p w:rsidR="00D246C6" w:rsidRPr="00283B59" w:rsidRDefault="00D246C6" w:rsidP="0041369F">
      <w:pPr>
        <w:pStyle w:val="PPVBody"/>
        <w:rPr>
          <w:sz w:val="20"/>
          <w:szCs w:val="20"/>
        </w:rPr>
      </w:pPr>
      <w:r w:rsidRPr="00283B59">
        <w:rPr>
          <w:sz w:val="20"/>
          <w:szCs w:val="20"/>
        </w:rPr>
        <w:t xml:space="preserve">Source </w:t>
      </w:r>
      <w:r w:rsidR="00283B59" w:rsidRPr="00283B59">
        <w:rPr>
          <w:sz w:val="20"/>
          <w:szCs w:val="20"/>
        </w:rPr>
        <w:t>Port Phillip submission: DM3a</w:t>
      </w:r>
    </w:p>
    <w:p w:rsidR="00F45F1E" w:rsidRDefault="00F45F1E">
      <w:pPr>
        <w:spacing w:before="0"/>
        <w:jc w:val="left"/>
        <w:rPr>
          <w:noProof w:val="0"/>
        </w:rPr>
      </w:pPr>
      <w:r>
        <w:br w:type="page"/>
      </w:r>
    </w:p>
    <w:p w:rsidR="00E649BF" w:rsidRDefault="0041369F" w:rsidP="0041369F">
      <w:pPr>
        <w:pStyle w:val="PPVBody"/>
      </w:pPr>
      <w:r>
        <w:lastRenderedPageBreak/>
        <w:t>Port Phillip noted that the key outcomes of the ’tooth and gap’ approach include:</w:t>
      </w:r>
    </w:p>
    <w:p w:rsidR="0041369F" w:rsidRDefault="0041369F" w:rsidP="0041369F">
      <w:pPr>
        <w:pStyle w:val="PPVQuoteBullet1"/>
      </w:pPr>
      <w:r>
        <w:t>Variations in height allowing daylight and sunlight into the centre of the block</w:t>
      </w:r>
    </w:p>
    <w:p w:rsidR="0041369F" w:rsidRDefault="0041369F" w:rsidP="0041369F">
      <w:pPr>
        <w:pStyle w:val="PPVQuoteBullet1"/>
      </w:pPr>
      <w:r>
        <w:t xml:space="preserve">Individual buildings providing opportunities for greater variation in volume, appearance and material; and </w:t>
      </w:r>
    </w:p>
    <w:p w:rsidR="0041369F" w:rsidRDefault="0041369F" w:rsidP="0041369F">
      <w:pPr>
        <w:pStyle w:val="PPVQuoteBullet1"/>
      </w:pPr>
      <w:r>
        <w:t>Opportunities for small; setbacks to provide pocket parks along the street and or a variety of communal open spaces.</w:t>
      </w:r>
    </w:p>
    <w:p w:rsidR="0041369F" w:rsidRDefault="00072A23" w:rsidP="00A462FE">
      <w:pPr>
        <w:pStyle w:val="PPVBody"/>
      </w:pPr>
      <w:r>
        <w:t xml:space="preserve">The Minister did not support these recommendations, particularly in the context of the heights proposed. </w:t>
      </w:r>
      <w:r w:rsidR="000E1854">
        <w:t xml:space="preserve"> Neither did the landholders.</w:t>
      </w:r>
    </w:p>
    <w:p w:rsidR="00045DC9" w:rsidRDefault="00593519" w:rsidP="00A462FE">
      <w:pPr>
        <w:pStyle w:val="PPVBody"/>
        <w:rPr>
          <w:b/>
        </w:rPr>
      </w:pPr>
      <w:r w:rsidRPr="00593519">
        <w:rPr>
          <w:b/>
        </w:rPr>
        <w:t>Design and Development Overlay 8</w:t>
      </w:r>
    </w:p>
    <w:p w:rsidR="00DD2D78" w:rsidRDefault="00FA656A" w:rsidP="00FA656A">
      <w:pPr>
        <w:pStyle w:val="PPVBody"/>
      </w:pPr>
      <w:r>
        <w:t xml:space="preserve">Port Phillip </w:t>
      </w:r>
      <w:r w:rsidR="00DD2D78">
        <w:t xml:space="preserve">submitted that building heights </w:t>
      </w:r>
      <w:r w:rsidR="00C06788">
        <w:t xml:space="preserve">at 400 – 430 City Road </w:t>
      </w:r>
      <w:r w:rsidR="00DD2D78">
        <w:t>“</w:t>
      </w:r>
      <w:r w:rsidR="00DD2D78">
        <w:rPr>
          <w:i/>
        </w:rPr>
        <w:t>… h</w:t>
      </w:r>
      <w:r w:rsidR="00DD2D78" w:rsidRPr="00DD2D78">
        <w:rPr>
          <w:i/>
        </w:rPr>
        <w:t>ave the potential to cast shadow over areas that are currently protected from overshadowing by mandatory overshadowing controls in the adjoining part of South Melbourne contained within DDO8</w:t>
      </w:r>
      <w:r w:rsidR="00F45F1E">
        <w:t>”.</w:t>
      </w:r>
    </w:p>
    <w:p w:rsidR="00FA656A" w:rsidRDefault="00DD2D78" w:rsidP="00FA656A">
      <w:pPr>
        <w:pStyle w:val="PPVBody"/>
      </w:pPr>
      <w:r>
        <w:t xml:space="preserve">It </w:t>
      </w:r>
      <w:r w:rsidR="00FA656A">
        <w:t>sought to amend the overshadowing requirements in DDO30 to include overshadowing controls for the entire width of the southern footpath on property frontages on York and Market Streets South Melbourne to prevent overshadowing on and around the South Melbourne Market between</w:t>
      </w:r>
      <w:r>
        <w:t xml:space="preserve"> 11am and 2pm on 21 June.  Mr Montebello noted it would be a “</w:t>
      </w:r>
      <w:r w:rsidRPr="00DD2D78">
        <w:rPr>
          <w:i/>
        </w:rPr>
        <w:t>curious outcome</w:t>
      </w:r>
      <w:r>
        <w:t>” should this not be rectified.</w:t>
      </w:r>
    </w:p>
    <w:p w:rsidR="00FA656A" w:rsidRDefault="00FA656A" w:rsidP="00FA656A">
      <w:pPr>
        <w:pStyle w:val="PPVBody"/>
      </w:pPr>
      <w:r>
        <w:t xml:space="preserve">Further, Port Phillip sought to reduce the building heights in the area bound by City Road, Whiteman and Cecil Streets from 24 to 12-15, and 20 </w:t>
      </w:r>
      <w:r w:rsidR="00152469">
        <w:t>s</w:t>
      </w:r>
      <w:r>
        <w:t>toreys.</w:t>
      </w:r>
    </w:p>
    <w:p w:rsidR="00FA656A" w:rsidRDefault="00FA656A" w:rsidP="00FA656A">
      <w:pPr>
        <w:pStyle w:val="PPVBody"/>
      </w:pPr>
      <w:r>
        <w:t>The Minister supported this in part and proposed a decision guidelines to ‘minimise’ overshadowing to the Market.  However the Minister did not accept the reduction in building heights.</w:t>
      </w:r>
    </w:p>
    <w:p w:rsidR="00FA656A" w:rsidRDefault="00601DC4" w:rsidP="00FA656A">
      <w:pPr>
        <w:pStyle w:val="PPVBody"/>
      </w:pPr>
      <w:r>
        <w:t xml:space="preserve">Wadhawan </w:t>
      </w:r>
      <w:r w:rsidR="00AC679F">
        <w:t>argued strongly against this.</w:t>
      </w:r>
      <w:r w:rsidR="00283B59">
        <w:t xml:space="preserve">  It noted that </w:t>
      </w:r>
      <w:r w:rsidR="00F44375">
        <w:t xml:space="preserve">the land is large (1.2 hectares), it is an island site with strong physical barriers, it is well located to access public transport and it is </w:t>
      </w:r>
      <w:r w:rsidR="00F44375" w:rsidRPr="00D56093">
        <w:rPr>
          <w:i/>
        </w:rPr>
        <w:t>“Ripe for substantial redevelopment that optimises the amenity benefits of its co-location with the CBD and South Melbourne central”.</w:t>
      </w:r>
      <w:r w:rsidR="00F44375">
        <w:t xml:space="preserve">  </w:t>
      </w:r>
      <w:r w:rsidR="00F5458D">
        <w:t>Ms Collingwood noted that the site has long been identified for intensive development and through a Priority Development Panel process in 2009, Amendment C83 to the Port Phillip Planning Scheme was gazetted in in April 2010</w:t>
      </w:r>
      <w:r w:rsidR="00986C68">
        <w:t>which introduced</w:t>
      </w:r>
      <w:r w:rsidR="00F5458D">
        <w:t xml:space="preserve"> an Incorporated Plan to facilitate development of the site.  A planning permit was granted for a mixed use scheme comprising four towers ranging between 96 and 135 metres for apartments, a hotel, serviced apartments and retail uses.</w:t>
      </w:r>
    </w:p>
    <w:p w:rsidR="00F5458D" w:rsidRPr="00FA656A" w:rsidRDefault="00F5458D" w:rsidP="00FA656A">
      <w:pPr>
        <w:pStyle w:val="PPVBody"/>
      </w:pPr>
      <w:r>
        <w:t>Ms Collingwood advised that when the former Minister rezoned Fishermans Bend to CCZ, he</w:t>
      </w:r>
      <w:r w:rsidR="00D56093">
        <w:t>r client’s site was included in</w:t>
      </w:r>
      <w:r>
        <w:t xml:space="preserve"> that area, even though the land had previously been considered as being part of Southbank.  Importantly, DDO8, which applied to the site, was removed.  Port Phillip advised that it did not </w:t>
      </w:r>
      <w:r w:rsidR="00F45F1E">
        <w:t>support removal of the overlay.</w:t>
      </w:r>
    </w:p>
    <w:p w:rsidR="00045DC9" w:rsidRDefault="0041369F" w:rsidP="0041369F">
      <w:pPr>
        <w:pStyle w:val="Heading2"/>
      </w:pPr>
      <w:bookmarkStart w:id="78" w:name="_Toc519849276"/>
      <w:r>
        <w:t>Discussion</w:t>
      </w:r>
      <w:bookmarkEnd w:id="78"/>
    </w:p>
    <w:p w:rsidR="00045DC9" w:rsidRPr="00045DC9" w:rsidRDefault="00F45F1E" w:rsidP="00045DC9">
      <w:pPr>
        <w:pStyle w:val="PPVBody"/>
        <w:rPr>
          <w:b/>
        </w:rPr>
      </w:pPr>
      <w:r>
        <w:rPr>
          <w:b/>
        </w:rPr>
        <w:t>Buckhurst Street</w:t>
      </w:r>
    </w:p>
    <w:p w:rsidR="00660F74" w:rsidRDefault="00660F74" w:rsidP="00A462FE">
      <w:pPr>
        <w:pStyle w:val="PPVBody"/>
      </w:pPr>
      <w:r>
        <w:t>The Review Panel observes that the decrease in height</w:t>
      </w:r>
      <w:r w:rsidR="0041369F">
        <w:t xml:space="preserve"> along Buckhurst Street</w:t>
      </w:r>
      <w:r>
        <w:t xml:space="preserve"> </w:t>
      </w:r>
      <w:r w:rsidR="0041369F">
        <w:t xml:space="preserve">proposed </w:t>
      </w:r>
      <w:r>
        <w:t>by Port Phillip is a major departure from what currently exist</w:t>
      </w:r>
      <w:r w:rsidR="00D56093">
        <w:t>s</w:t>
      </w:r>
      <w:r>
        <w:t xml:space="preserve"> and what is </w:t>
      </w:r>
      <w:r w:rsidR="00012751">
        <w:t>proposed</w:t>
      </w:r>
      <w:r>
        <w:t xml:space="preserve"> by the </w:t>
      </w:r>
      <w:r>
        <w:lastRenderedPageBreak/>
        <w:t xml:space="preserve">draft Amendment, reducing from </w:t>
      </w:r>
      <w:r w:rsidR="0041369F">
        <w:t>30 storey (GC50), 20 storeys (GC81) to 12 (Port Phillip).  Additionally, there is currently a live permit approval for four buildings, each at 30 storeys at 6 to 78 Buckhurst Street (Little Lane, S63).  This site commences at Kerr Street and takes up half a block.  Further along, there is another granted permit, also of 30 storeys at 134 to 150 Buckhurst Street.</w:t>
      </w:r>
    </w:p>
    <w:p w:rsidR="00E1255A" w:rsidRDefault="00E1255A" w:rsidP="00A462FE">
      <w:pPr>
        <w:pStyle w:val="PPVBody"/>
      </w:pPr>
      <w:r>
        <w:t xml:space="preserve">The Review Panel notes the Minister did not support the proposed reduced heights, although </w:t>
      </w:r>
      <w:r w:rsidR="00EE04F5">
        <w:t>no</w:t>
      </w:r>
      <w:r>
        <w:t xml:space="preserve"> reasons </w:t>
      </w:r>
      <w:r w:rsidR="00EE04F5">
        <w:t xml:space="preserve">were provided </w:t>
      </w:r>
      <w:r>
        <w:t>for this opinion (DM41).</w:t>
      </w:r>
    </w:p>
    <w:p w:rsidR="0041369F" w:rsidRDefault="0041369F" w:rsidP="00A462FE">
      <w:pPr>
        <w:pStyle w:val="PPVBody"/>
      </w:pPr>
      <w:r>
        <w:t xml:space="preserve">The Review Panel acknowledges the dilemma that this provides.  Port Phillip urged the Review Panel to think about the ultimate Vision it proposed for this part of Fishermans Bend and to not be persuaded by the Minister or the submitters.  It saw its proposal as an opportunity to provide for an urban built form that would be a legacy of good planning for an urban renewal area.  </w:t>
      </w:r>
      <w:r w:rsidR="00AE1C26">
        <w:t>On balance, the Review Panel supports the exhibited heights.</w:t>
      </w:r>
    </w:p>
    <w:p w:rsidR="00593519" w:rsidRPr="00593519" w:rsidRDefault="00593519" w:rsidP="00593519">
      <w:pPr>
        <w:pStyle w:val="PPVBody"/>
        <w:rPr>
          <w:b/>
        </w:rPr>
      </w:pPr>
      <w:r w:rsidRPr="00593519">
        <w:rPr>
          <w:b/>
        </w:rPr>
        <w:t>Design and Development Overlay 8</w:t>
      </w:r>
    </w:p>
    <w:p w:rsidR="00FA656A" w:rsidRDefault="00EF3B80" w:rsidP="00A462FE">
      <w:pPr>
        <w:pStyle w:val="PPVBody"/>
      </w:pPr>
      <w:r>
        <w:t>Again, the Review Panel understands the position of Port Phillip but considers that this site has long been designa</w:t>
      </w:r>
      <w:r w:rsidR="00FA656A">
        <w:t xml:space="preserve">ted for a taller built form.  It is a site unencumbered by adjacent amenity impacts and the Review Panel agrees with Ms Collingwood, that when viewing it, the site is more aligned to Southbank than Fishermans Bend.  The adjacent tram line </w:t>
      </w:r>
      <w:r w:rsidR="00F5458D">
        <w:t xml:space="preserve">is an </w:t>
      </w:r>
      <w:r w:rsidR="00FA656A">
        <w:t>appropriate built form buffer</w:t>
      </w:r>
      <w:r w:rsidR="00F5458D">
        <w:t xml:space="preserve"> to the areas further south</w:t>
      </w:r>
      <w:r w:rsidR="001A5377">
        <w:t>.</w:t>
      </w:r>
    </w:p>
    <w:p w:rsidR="00045DC9" w:rsidRDefault="00FA656A" w:rsidP="00A462FE">
      <w:pPr>
        <w:pStyle w:val="PPVBody"/>
      </w:pPr>
      <w:r>
        <w:t xml:space="preserve">The Review Panel supports the position of </w:t>
      </w:r>
      <w:r w:rsidR="00601DC4">
        <w:t xml:space="preserve">Wadhawan </w:t>
      </w:r>
      <w:r w:rsidR="00AE1C26">
        <w:t xml:space="preserve">Holdings </w:t>
      </w:r>
      <w:r w:rsidR="00505C65">
        <w:t xml:space="preserve">in this regard </w:t>
      </w:r>
      <w:r>
        <w:t xml:space="preserve">and considers the heights should remain as exhibited, but any final plans for its ultimate development should ensure that there is no overshadowing of the South Melbourne market or its </w:t>
      </w:r>
      <w:r w:rsidR="00AE1C26">
        <w:t xml:space="preserve">(immediate) </w:t>
      </w:r>
      <w:r w:rsidR="00F5458D">
        <w:t xml:space="preserve">adjacent </w:t>
      </w:r>
      <w:r>
        <w:t xml:space="preserve">footpath.  </w:t>
      </w:r>
      <w:r w:rsidR="002F2A8B">
        <w:t xml:space="preserve">This </w:t>
      </w:r>
      <w:r w:rsidR="00AE1C26">
        <w:t xml:space="preserve">specific provision </w:t>
      </w:r>
      <w:r w:rsidR="002F2A8B">
        <w:t>has been i</w:t>
      </w:r>
      <w:r w:rsidR="00AE1C26">
        <w:t>ncluded in the DDO for Montague.</w:t>
      </w:r>
    </w:p>
    <w:p w:rsidR="00A462FE" w:rsidRDefault="00A462FE" w:rsidP="00A462FE">
      <w:pPr>
        <w:pStyle w:val="Heading2"/>
      </w:pPr>
      <w:bookmarkStart w:id="79" w:name="_Toc519849277"/>
      <w:r>
        <w:t>Findings</w:t>
      </w:r>
      <w:bookmarkEnd w:id="79"/>
    </w:p>
    <w:p w:rsidR="00A462FE" w:rsidRDefault="00A462FE" w:rsidP="00A462FE">
      <w:pPr>
        <w:pStyle w:val="PPVBody"/>
      </w:pPr>
      <w:r>
        <w:t>The Review Panel finds:</w:t>
      </w:r>
    </w:p>
    <w:p w:rsidR="00A462FE" w:rsidRDefault="00E1255A" w:rsidP="00A462FE">
      <w:pPr>
        <w:pStyle w:val="PPVBullet1"/>
      </w:pPr>
      <w:r>
        <w:t xml:space="preserve">It supports the ‘tooth and gap’ typology for </w:t>
      </w:r>
      <w:r w:rsidR="00601DC4">
        <w:t xml:space="preserve">the north side of </w:t>
      </w:r>
      <w:r>
        <w:t>Buckhurst Street, but not the reduced heights sought by Council.</w:t>
      </w:r>
      <w:r w:rsidR="002D539D">
        <w:t xml:space="preserve">  This typology has been include in the revised Montague Design and Development Overlay at </w:t>
      </w:r>
      <w:r w:rsidR="00513284">
        <w:t>Clause 1.0, Table 1 and Table 3.</w:t>
      </w:r>
    </w:p>
    <w:p w:rsidR="00A462FE" w:rsidRDefault="00505C65" w:rsidP="00A462FE">
      <w:pPr>
        <w:pStyle w:val="PPVBullet1"/>
      </w:pPr>
      <w:r>
        <w:t>It support</w:t>
      </w:r>
      <w:r w:rsidR="00601DC4">
        <w:t>s</w:t>
      </w:r>
      <w:r>
        <w:t xml:space="preserve"> the </w:t>
      </w:r>
      <w:r w:rsidR="00AC679F">
        <w:t xml:space="preserve">exhibited heights for </w:t>
      </w:r>
      <w:r w:rsidR="00EE04F5">
        <w:t xml:space="preserve">the </w:t>
      </w:r>
      <w:r w:rsidR="00601DC4">
        <w:t xml:space="preserve">Wadhawan </w:t>
      </w:r>
      <w:r w:rsidR="00EE04F5">
        <w:t>site</w:t>
      </w:r>
      <w:r w:rsidR="00AC679F">
        <w:t xml:space="preserve"> at 400 </w:t>
      </w:r>
      <w:r w:rsidR="00C06788">
        <w:t xml:space="preserve">– 430 </w:t>
      </w:r>
      <w:r w:rsidR="00AC679F">
        <w:t>City Road, but considers that</w:t>
      </w:r>
      <w:r w:rsidR="00EE04F5">
        <w:t xml:space="preserve"> any future development be designed to ensure that it does not overshadow the </w:t>
      </w:r>
      <w:r w:rsidR="007E2B8E">
        <w:t xml:space="preserve">footpaths at the </w:t>
      </w:r>
      <w:r w:rsidR="00EE04F5">
        <w:t>South Melbourne Market</w:t>
      </w:r>
      <w:r w:rsidR="00513284">
        <w:t>.  This provision has been included in the revised Montague Design and Development Overlay at Clauses 2.5 and 2.8.</w:t>
      </w:r>
    </w:p>
    <w:p w:rsidR="00A341B1" w:rsidRPr="00233351" w:rsidRDefault="00A341B1" w:rsidP="00A341B1">
      <w:pPr>
        <w:pStyle w:val="Heading1"/>
      </w:pPr>
      <w:bookmarkStart w:id="80" w:name="_Toc519849278"/>
      <w:r w:rsidRPr="00A341B1">
        <w:lastRenderedPageBreak/>
        <w:t>Roads</w:t>
      </w:r>
      <w:r>
        <w:t xml:space="preserve"> and transport infrastructure</w:t>
      </w:r>
      <w:bookmarkEnd w:id="80"/>
    </w:p>
    <w:p w:rsidR="00036E71" w:rsidRDefault="00036E71" w:rsidP="00036E71">
      <w:pPr>
        <w:pStyle w:val="PPVBody"/>
      </w:pPr>
      <w:r>
        <w:t xml:space="preserve">Montague Precinct is </w:t>
      </w:r>
      <w:r w:rsidR="00601DC4">
        <w:t xml:space="preserve">envisaged </w:t>
      </w:r>
      <w:r>
        <w:t>to be a diverse and well-connected mixed use precinct compl</w:t>
      </w:r>
      <w:r w:rsidR="00D56093">
        <w:t>e</w:t>
      </w:r>
      <w:r>
        <w:t xml:space="preserve">mented by a network of </w:t>
      </w:r>
      <w:r w:rsidR="00601DC4">
        <w:t>“</w:t>
      </w:r>
      <w:r w:rsidRPr="007A19D2">
        <w:rPr>
          <w:rStyle w:val="PPVQuoteChar"/>
        </w:rPr>
        <w:t>gritty streets and laneways</w:t>
      </w:r>
      <w:r w:rsidR="00601DC4">
        <w:rPr>
          <w:rStyle w:val="PPVQuoteChar"/>
        </w:rPr>
        <w:t>”</w:t>
      </w:r>
      <w:r>
        <w:t>.</w:t>
      </w:r>
    </w:p>
    <w:p w:rsidR="00036E71" w:rsidRDefault="00036E71" w:rsidP="00036E71">
      <w:pPr>
        <w:pStyle w:val="PPVBody"/>
      </w:pPr>
      <w:r>
        <w:t>The area is currently well served by public transport with the</w:t>
      </w:r>
      <w:r w:rsidR="00601DC4" w:rsidRPr="00601DC4">
        <w:t xml:space="preserve"> </w:t>
      </w:r>
      <w:r w:rsidR="00601DC4">
        <w:t>No.</w:t>
      </w:r>
      <w:r>
        <w:t xml:space="preserve"> 109 tram route bisecting precinct and the No. 96 tram route located towards the eastern edge, bus services operate along City Road and at the northern end of Norm</w:t>
      </w:r>
      <w:r w:rsidR="001A5377">
        <w:t>anby Road and Montague Street.</w:t>
      </w:r>
    </w:p>
    <w:p w:rsidR="00036E71" w:rsidRDefault="00036E71" w:rsidP="00036E71">
      <w:pPr>
        <w:pStyle w:val="PPVBody"/>
      </w:pPr>
      <w:r>
        <w:t>Due to the generally smaller block sizes and existing road network, there is only one proposed road (to connect Woodgate Street (south side of South Melbourne Toyota to Normanby Road)) and series of new laneways, some which provide ‘missing links’ by connecting disjointed lan</w:t>
      </w:r>
      <w:r w:rsidR="001A5377">
        <w:t>eways to enhance permeability.</w:t>
      </w:r>
    </w:p>
    <w:p w:rsidR="00036E71" w:rsidRDefault="00036E71" w:rsidP="00036E71">
      <w:pPr>
        <w:pStyle w:val="PPVBody"/>
      </w:pPr>
      <w:r>
        <w:t>Mr Kiriakidis, Mr Fooks</w:t>
      </w:r>
      <w:r w:rsidR="00601DC4">
        <w:t>,</w:t>
      </w:r>
      <w:r>
        <w:t xml:space="preserve"> Ms Dunstan and Mr Walsh provided a high level review of Fishermans Bend transport network.  Ms Dunstan and Mr Walsh then provided site specific expert traffic evidence f</w:t>
      </w:r>
      <w:r w:rsidR="001A5377">
        <w:t>or developers and land owners.</w:t>
      </w:r>
    </w:p>
    <w:p w:rsidR="00036E71" w:rsidRDefault="00036E71" w:rsidP="00036E71">
      <w:pPr>
        <w:pStyle w:val="PPVBody"/>
      </w:pPr>
      <w:r>
        <w:t>The majority of roads and transport infrastructure issues centred around laneway locations and their attributes.  Laneway attributes, such as location, alignment and function are discussed in the Overview Report, however it is appropriate to briefly discuss site specific issues r</w:t>
      </w:r>
      <w:r w:rsidR="001A5377">
        <w:t>aised in the Montague Precinct.</w:t>
      </w:r>
    </w:p>
    <w:p w:rsidR="00036E71" w:rsidRDefault="00036E71" w:rsidP="00036E71">
      <w:pPr>
        <w:pStyle w:val="PPVBody"/>
      </w:pPr>
      <w:r>
        <w:t>The key issues to be addressed are:</w:t>
      </w:r>
    </w:p>
    <w:p w:rsidR="00036E71" w:rsidRDefault="00036E71" w:rsidP="00036E71">
      <w:pPr>
        <w:pStyle w:val="PPVBullet1"/>
      </w:pPr>
      <w:r>
        <w:t>Normanby Road</w:t>
      </w:r>
      <w:r w:rsidR="00601DC4">
        <w:t>’s</w:t>
      </w:r>
      <w:r>
        <w:t xml:space="preserve"> ‘no crossover’ status</w:t>
      </w:r>
    </w:p>
    <w:p w:rsidR="00036E71" w:rsidRDefault="003E27EC" w:rsidP="00036E71">
      <w:pPr>
        <w:pStyle w:val="PPVBullet1"/>
      </w:pPr>
      <w:r>
        <w:t>l</w:t>
      </w:r>
      <w:r w:rsidR="00036E71">
        <w:t>aneways.</w:t>
      </w:r>
    </w:p>
    <w:p w:rsidR="00036E71" w:rsidRDefault="00036E71" w:rsidP="00036E71">
      <w:pPr>
        <w:pStyle w:val="PPVBody"/>
      </w:pPr>
      <w:r>
        <w:t>Other issues raised which are discussed in the Overview Report are:</w:t>
      </w:r>
    </w:p>
    <w:p w:rsidR="00036E71" w:rsidRDefault="00036E71" w:rsidP="00036E71">
      <w:pPr>
        <w:pStyle w:val="PPVBullet1"/>
      </w:pPr>
      <w:r>
        <w:t>parking, land acquisition and compensation mechanisms</w:t>
      </w:r>
    </w:p>
    <w:p w:rsidR="00036E71" w:rsidRDefault="00036E71" w:rsidP="00036E71">
      <w:pPr>
        <w:pStyle w:val="PPVBullet1"/>
      </w:pPr>
      <w:r>
        <w:t>proposed laneways and their attributes (i.e. width, function).</w:t>
      </w:r>
    </w:p>
    <w:p w:rsidR="00036E71" w:rsidRDefault="00C06788" w:rsidP="00036E71">
      <w:pPr>
        <w:pStyle w:val="Heading2"/>
      </w:pPr>
      <w:bookmarkStart w:id="81" w:name="_Toc518808696"/>
      <w:bookmarkStart w:id="82" w:name="_Toc519849279"/>
      <w:r>
        <w:t xml:space="preserve">187 – 197 </w:t>
      </w:r>
      <w:r w:rsidR="00036E71">
        <w:t>Normanby Road ‘no crossovers’ status</w:t>
      </w:r>
      <w:bookmarkEnd w:id="81"/>
      <w:bookmarkEnd w:id="82"/>
    </w:p>
    <w:p w:rsidR="00036E71" w:rsidRPr="0084636C" w:rsidRDefault="00036E71" w:rsidP="00036E71">
      <w:pPr>
        <w:pStyle w:val="PPVBody"/>
      </w:pPr>
      <w:r>
        <w:t xml:space="preserve">Normanby Road is in the Montague </w:t>
      </w:r>
      <w:r w:rsidR="00601DC4">
        <w:t>c</w:t>
      </w:r>
      <w:r>
        <w:t>ore area with primary active frontages and as such, no crossovers are proposed to apply to this road.</w:t>
      </w:r>
    </w:p>
    <w:p w:rsidR="00036E71" w:rsidRPr="001E0748" w:rsidRDefault="00036E71" w:rsidP="00036E71">
      <w:pPr>
        <w:pStyle w:val="Heading4"/>
      </w:pPr>
      <w:r>
        <w:t>Submissions and evidence</w:t>
      </w:r>
    </w:p>
    <w:p w:rsidR="00036E71" w:rsidRDefault="00036E71" w:rsidP="00036E71">
      <w:pPr>
        <w:pStyle w:val="PPVBody"/>
      </w:pPr>
      <w:r>
        <w:t>Mr Tweedie made submissions (</w:t>
      </w:r>
      <w:r w:rsidR="00AE1C26">
        <w:t>D</w:t>
      </w:r>
      <w:r>
        <w:t>M8) on behalf of Lie Property Group wh</w:t>
      </w:r>
      <w:r w:rsidR="00D56093">
        <w:t xml:space="preserve">ich </w:t>
      </w:r>
      <w:r>
        <w:t xml:space="preserve">own </w:t>
      </w:r>
      <w:r w:rsidRPr="001E0748">
        <w:t>187 – 197 Normanby Road, Southbank – Lie Property Pty Ltd</w:t>
      </w:r>
      <w:r>
        <w:t xml:space="preserve"> (currently Total Tools South Melbourne) which sits between Normanby Road and Woodgate Street.  In particular he argued “</w:t>
      </w:r>
      <w:r w:rsidRPr="002C369F">
        <w:rPr>
          <w:rStyle w:val="PPVQuoteChar"/>
        </w:rPr>
        <w:t>it is unreasonable for no crossovers to occur on Normanby Road given the large street frontage and difficulty in solely relying on Woodgate Street considering the existing conditions and likely time required to evolve into a roadway suitable for access</w:t>
      </w:r>
      <w:r>
        <w:rPr>
          <w:rStyle w:val="PPVQuoteChar"/>
        </w:rPr>
        <w:t>”</w:t>
      </w:r>
      <w:r>
        <w:t>.</w:t>
      </w:r>
    </w:p>
    <w:p w:rsidR="00036E71" w:rsidRDefault="00036E71" w:rsidP="00036E71">
      <w:pPr>
        <w:pStyle w:val="PPVBody"/>
      </w:pPr>
      <w:r>
        <w:t>The Minister did not specifically respond to this issue.</w:t>
      </w:r>
    </w:p>
    <w:p w:rsidR="00036E71" w:rsidRDefault="00036E71" w:rsidP="00036E71">
      <w:pPr>
        <w:pStyle w:val="PPVBody"/>
        <w:rPr>
          <w:rFonts w:asciiTheme="minorHAnsi" w:hAnsiTheme="minorHAnsi"/>
        </w:rPr>
      </w:pPr>
      <w:r>
        <w:rPr>
          <w:rFonts w:asciiTheme="minorHAnsi" w:hAnsiTheme="minorHAnsi"/>
        </w:rPr>
        <w:t xml:space="preserve">Port Phillip referred to its Montague Urban Design Report that showed Normanby Road in the </w:t>
      </w:r>
      <w:r w:rsidR="00601DC4">
        <w:rPr>
          <w:rFonts w:asciiTheme="minorHAnsi" w:hAnsiTheme="minorHAnsi"/>
        </w:rPr>
        <w:t>c</w:t>
      </w:r>
      <w:r>
        <w:rPr>
          <w:rFonts w:asciiTheme="minorHAnsi" w:hAnsiTheme="minorHAnsi"/>
        </w:rPr>
        <w:t>ore area with its support for the ‘no crossovers’ status for this road.</w:t>
      </w:r>
    </w:p>
    <w:p w:rsidR="00036E71" w:rsidRDefault="00036E71" w:rsidP="00036E71">
      <w:pPr>
        <w:pStyle w:val="Heading4"/>
      </w:pPr>
      <w:r>
        <w:lastRenderedPageBreak/>
        <w:t>Discussion</w:t>
      </w:r>
    </w:p>
    <w:p w:rsidR="00036E71" w:rsidRDefault="00036E71" w:rsidP="00036E71">
      <w:pPr>
        <w:pStyle w:val="PPVBody"/>
      </w:pPr>
      <w:r>
        <w:t>The draft Framework and maps identify Normanby Road as a core area and consequently crossovers are discouraged unless there are no other alternatives.  Lie</w:t>
      </w:r>
      <w:r w:rsidRPr="00D1570D">
        <w:t xml:space="preserve"> Property </w:t>
      </w:r>
      <w:r w:rsidR="00601DC4">
        <w:t>Group</w:t>
      </w:r>
      <w:r>
        <w:t xml:space="preserve"> argued that vehicle access should remain on Normanby Road as Woodgate Street access is more difficult, in particular until road widening and conne</w:t>
      </w:r>
      <w:r w:rsidR="001A5377">
        <w:t>ction to Normanby Road occurs.</w:t>
      </w:r>
    </w:p>
    <w:p w:rsidR="00036E71" w:rsidRPr="00D1570D" w:rsidRDefault="00036E71" w:rsidP="00036E71">
      <w:pPr>
        <w:pStyle w:val="PPVBody"/>
      </w:pPr>
      <w:r>
        <w:t xml:space="preserve">This site highlights the tension which occurs when developing sites within an area which </w:t>
      </w:r>
      <w:r w:rsidR="00D56093">
        <w:t>is</w:t>
      </w:r>
      <w:r>
        <w:t xml:space="preserve"> transforming.  The Review Panel accepts the principles for Normanby Road to be ‘no crossovers’ status are appropriate and as such, this site should provide vehicle access from Woodgate Street.  Site inspections confirm that access at the south east corner of the site would be feasible but modifications to existing parking and other works may be required in the short term.  Further investigations to determine vehicle access arrangements can be undertaken as part of a planning permit application or during the precinct plan</w:t>
      </w:r>
      <w:r w:rsidR="00601DC4">
        <w:t>ning</w:t>
      </w:r>
      <w:r>
        <w:t xml:space="preserve"> phase.</w:t>
      </w:r>
    </w:p>
    <w:p w:rsidR="00036E71" w:rsidRDefault="00036E71" w:rsidP="00036E71">
      <w:pPr>
        <w:pStyle w:val="Heading4"/>
      </w:pPr>
      <w:r>
        <w:t>Findings</w:t>
      </w:r>
    </w:p>
    <w:p w:rsidR="00036E71" w:rsidRDefault="00036E71" w:rsidP="00036E71">
      <w:pPr>
        <w:pStyle w:val="PPVBody"/>
      </w:pPr>
      <w:r>
        <w:t>The Review Panel finds:</w:t>
      </w:r>
    </w:p>
    <w:p w:rsidR="00036E71" w:rsidRDefault="00C06788" w:rsidP="00036E71">
      <w:pPr>
        <w:pStyle w:val="PPVBullet1"/>
      </w:pPr>
      <w:r>
        <w:t>187 - 197</w:t>
      </w:r>
      <w:r w:rsidR="00036E71">
        <w:t xml:space="preserve"> Normanby Road should utilise Woodgate Street for vehicle access.  Further site access investigations can be undertaken as part of a planning permit application.</w:t>
      </w:r>
    </w:p>
    <w:p w:rsidR="00036E71" w:rsidRDefault="00036E71" w:rsidP="00036E71">
      <w:pPr>
        <w:pStyle w:val="Heading2"/>
      </w:pPr>
      <w:bookmarkStart w:id="83" w:name="_Toc518808697"/>
      <w:bookmarkStart w:id="84" w:name="_Toc519849280"/>
      <w:r>
        <w:t>Laneways</w:t>
      </w:r>
      <w:bookmarkEnd w:id="83"/>
      <w:bookmarkEnd w:id="84"/>
    </w:p>
    <w:p w:rsidR="00036E71" w:rsidRPr="001E0748" w:rsidRDefault="00036E71" w:rsidP="00036E71">
      <w:pPr>
        <w:pStyle w:val="Heading4"/>
      </w:pPr>
      <w:r>
        <w:t>Submissions and evidence</w:t>
      </w:r>
    </w:p>
    <w:p w:rsidR="00036E71" w:rsidRDefault="00036E71" w:rsidP="00036E71">
      <w:pPr>
        <w:pStyle w:val="PPVBody"/>
        <w:rPr>
          <w:rFonts w:asciiTheme="minorHAnsi" w:hAnsiTheme="minorHAnsi"/>
        </w:rPr>
      </w:pPr>
      <w:r>
        <w:rPr>
          <w:rFonts w:asciiTheme="minorHAnsi" w:hAnsiTheme="minorHAnsi"/>
        </w:rPr>
        <w:t>The Minister’s opening submission for Montague (</w:t>
      </w:r>
      <w:r w:rsidR="00AE1C26">
        <w:rPr>
          <w:rFonts w:asciiTheme="minorHAnsi" w:hAnsiTheme="minorHAnsi"/>
        </w:rPr>
        <w:t>D</w:t>
      </w:r>
      <w:r>
        <w:rPr>
          <w:rFonts w:asciiTheme="minorHAnsi" w:hAnsiTheme="minorHAnsi"/>
        </w:rPr>
        <w:t>M2) identified the fine grade laneways and through block links are to provide permeability and connectivity.  New laneways are proposed to:</w:t>
      </w:r>
    </w:p>
    <w:p w:rsidR="00036E71" w:rsidRDefault="00036E71" w:rsidP="00036E71">
      <w:pPr>
        <w:pStyle w:val="PPVBullet1"/>
      </w:pPr>
      <w:r>
        <w:t>complete ‘missing links’ between primary and secondary streets</w:t>
      </w:r>
    </w:p>
    <w:p w:rsidR="00036E71" w:rsidRDefault="00036E71" w:rsidP="00036E71">
      <w:pPr>
        <w:pStyle w:val="PPVBullet1"/>
      </w:pPr>
      <w:r>
        <w:t>provide rear/side lane access to buildings</w:t>
      </w:r>
    </w:p>
    <w:p w:rsidR="00036E71" w:rsidRDefault="00036E71" w:rsidP="00036E71">
      <w:pPr>
        <w:pStyle w:val="PPVBullet1"/>
      </w:pPr>
      <w:r>
        <w:t>facilitate connection to the tram and neighbourhood precincts.</w:t>
      </w:r>
    </w:p>
    <w:p w:rsidR="00036E71" w:rsidRDefault="00036E71" w:rsidP="00036E71">
      <w:pPr>
        <w:pStyle w:val="PPVBody"/>
        <w:rPr>
          <w:rFonts w:asciiTheme="minorHAnsi" w:hAnsiTheme="minorHAnsi"/>
        </w:rPr>
      </w:pPr>
      <w:r>
        <w:rPr>
          <w:rFonts w:asciiTheme="minorHAnsi" w:hAnsiTheme="minorHAnsi"/>
        </w:rPr>
        <w:t>Port Phillip referred to its Montague Urban Design Report and suggested additional laneways, modifications to the location and width of a number of other laneways.</w:t>
      </w:r>
    </w:p>
    <w:p w:rsidR="00C06788" w:rsidRDefault="00C06788" w:rsidP="00C06788">
      <w:pPr>
        <w:pStyle w:val="PPVBody"/>
        <w:rPr>
          <w:rFonts w:asciiTheme="minorHAnsi" w:hAnsiTheme="minorHAnsi"/>
        </w:rPr>
      </w:pPr>
      <w:r>
        <w:rPr>
          <w:rFonts w:asciiTheme="minorHAnsi" w:hAnsiTheme="minorHAnsi"/>
        </w:rPr>
        <w:t>The Minister accepted that further work is required, including using GIS software to provide accurate information to be incorporated into the maps.  He contended that the precise location of laneways, width, function and character should continue to be shown as ‘indicative’ but would be finalised as part of the Precinct plan phase.</w:t>
      </w:r>
    </w:p>
    <w:p w:rsidR="00036E71" w:rsidRPr="00424F90" w:rsidRDefault="00036E71" w:rsidP="00036E71">
      <w:pPr>
        <w:pStyle w:val="PPVBody"/>
        <w:rPr>
          <w:rFonts w:asciiTheme="minorHAnsi" w:hAnsiTheme="minorHAnsi"/>
          <w:b/>
        </w:rPr>
      </w:pPr>
      <w:r w:rsidRPr="00424F90">
        <w:rPr>
          <w:b/>
        </w:rPr>
        <w:t>6 - 78 Buckhurst Street, South Melbourne – Little Lane Early Learning Pty Ltd</w:t>
      </w:r>
    </w:p>
    <w:p w:rsidR="00036E71" w:rsidRDefault="00036E71" w:rsidP="00036E71">
      <w:pPr>
        <w:pStyle w:val="PPVBody"/>
      </w:pPr>
      <w:r>
        <w:t>The endorsed masterplan (</w:t>
      </w:r>
      <w:r w:rsidR="00AE1C26">
        <w:t>D</w:t>
      </w:r>
      <w:r>
        <w:t xml:space="preserve">M19) for </w:t>
      </w:r>
      <w:r w:rsidRPr="001E0748">
        <w:t>6 - 78 Buckhurst Street, South Melbourne – Little Lane Early Learning Pty Ltd</w:t>
      </w:r>
      <w:r w:rsidR="00710CAA">
        <w:t xml:space="preserve"> consists of a four tower-</w:t>
      </w:r>
      <w:r>
        <w:t>podium development.  The draft Amendment’s requirement for vehicular access from a central laneway onto Buckhurst Street is reasonable, however the rear laneway is not required (and was originally not req</w:t>
      </w:r>
      <w:r w:rsidR="001A5377">
        <w:t>uired with the approved plans).</w:t>
      </w:r>
    </w:p>
    <w:p w:rsidR="00036E71" w:rsidRPr="00424F90" w:rsidRDefault="00036E71" w:rsidP="00591580">
      <w:pPr>
        <w:pStyle w:val="PPVBody"/>
        <w:keepNext/>
        <w:rPr>
          <w:b/>
        </w:rPr>
      </w:pPr>
      <w:r w:rsidRPr="00424F90">
        <w:rPr>
          <w:b/>
        </w:rPr>
        <w:lastRenderedPageBreak/>
        <w:t>400 – 430 City Road, Southbank - Wadhawan Holdings Pty Ltd</w:t>
      </w:r>
    </w:p>
    <w:p w:rsidR="00036E71" w:rsidRDefault="00036E71" w:rsidP="00036E71">
      <w:pPr>
        <w:pStyle w:val="PPVBody"/>
      </w:pPr>
      <w:r>
        <w:t xml:space="preserve">Mr Walsh submitted traffic evidence on behalf of Wadhawan Holdings Pty Ltd regarding the draft Amendment’s impact on </w:t>
      </w:r>
      <w:r w:rsidRPr="001E0748">
        <w:t>400 – 430 City Road, Southbank.</w:t>
      </w:r>
      <w:r>
        <w:t xml:space="preserve">  It is an island site bounded by City Road (arterial road, ‘no crossovers’, nominated with future on-road bicycle lanes), Cecil Street (strategic cycling corridor) and Whiteman</w:t>
      </w:r>
      <w:r w:rsidR="001A5377">
        <w:t xml:space="preserve"> Street.</w:t>
      </w:r>
    </w:p>
    <w:p w:rsidR="00036E71" w:rsidRDefault="00036E71" w:rsidP="00036E71">
      <w:pPr>
        <w:pStyle w:val="PPVBody"/>
      </w:pPr>
      <w:r>
        <w:t>Mr Walsh</w:t>
      </w:r>
      <w:r w:rsidR="00601DC4">
        <w:t xml:space="preserve">’s evidence was </w:t>
      </w:r>
      <w:r>
        <w:t>that the proposed indicative laneway bisect</w:t>
      </w:r>
      <w:r w:rsidR="00601DC4">
        <w:t>ing</w:t>
      </w:r>
      <w:r>
        <w:t xml:space="preserve"> the site between City Road and Whiteman Street provides relatively limited benefit to site access considering current spacing of the surrounding road network.  The laneway does not benefit access to the light rail stop </w:t>
      </w:r>
      <w:r w:rsidR="00601DC4">
        <w:t xml:space="preserve">on Railway Place (next to the school) </w:t>
      </w:r>
      <w:r>
        <w:t>as the access ramp commences near Whiteman</w:t>
      </w:r>
      <w:r w:rsidR="001A5377">
        <w:t xml:space="preserve"> Street/City Road intersection.</w:t>
      </w:r>
    </w:p>
    <w:p w:rsidR="00036E71" w:rsidRDefault="00C06788" w:rsidP="00C06788">
      <w:pPr>
        <w:pStyle w:val="PPVBody"/>
      </w:pPr>
      <w:r>
        <w:t>From a traffic engineering perspective, Mr Walsh was of the view that this site is isolated from the larger precinct and s</w:t>
      </w:r>
      <w:r w:rsidR="001A5377">
        <w:t>hould be considered separately.</w:t>
      </w:r>
    </w:p>
    <w:p w:rsidR="00036E71" w:rsidRDefault="00036E71" w:rsidP="00036E71">
      <w:pPr>
        <w:pStyle w:val="PPVBody"/>
        <w:rPr>
          <w:rFonts w:asciiTheme="minorHAnsi" w:hAnsiTheme="minorHAnsi"/>
        </w:rPr>
      </w:pPr>
      <w:r>
        <w:rPr>
          <w:rFonts w:asciiTheme="minorHAnsi" w:hAnsiTheme="minorHAnsi"/>
        </w:rPr>
        <w:t xml:space="preserve">In response, the Minister noted that </w:t>
      </w:r>
      <w:r w:rsidR="00601DC4">
        <w:rPr>
          <w:rFonts w:asciiTheme="minorHAnsi" w:hAnsiTheme="minorHAnsi"/>
        </w:rPr>
        <w:t xml:space="preserve">the laneway </w:t>
      </w:r>
      <w:r>
        <w:rPr>
          <w:rFonts w:asciiTheme="minorHAnsi" w:hAnsiTheme="minorHAnsi"/>
        </w:rPr>
        <w:t>can be resolved as part of the precinct plan phase though it is considered that this laneway would provide convenient access to the proposed open space for residents on the east side of Cecil Street.</w:t>
      </w:r>
    </w:p>
    <w:p w:rsidR="00036E71" w:rsidRDefault="00036E71" w:rsidP="00036E71">
      <w:pPr>
        <w:pStyle w:val="Heading4"/>
      </w:pPr>
      <w:r>
        <w:t>Discussion</w:t>
      </w:r>
    </w:p>
    <w:p w:rsidR="00036E71" w:rsidRDefault="00036E71" w:rsidP="00036E71">
      <w:pPr>
        <w:pStyle w:val="PPVBody"/>
      </w:pPr>
      <w:r>
        <w:t xml:space="preserve">The principal issue in </w:t>
      </w:r>
      <w:r w:rsidR="006A3175">
        <w:t xml:space="preserve">the </w:t>
      </w:r>
      <w:r>
        <w:t xml:space="preserve">Montague </w:t>
      </w:r>
      <w:r w:rsidR="006A3175">
        <w:t>P</w:t>
      </w:r>
      <w:r>
        <w:t>recinct centred around the additional laneways and their attributes or whether particular laneways were needed.</w:t>
      </w:r>
    </w:p>
    <w:p w:rsidR="00036E71" w:rsidRDefault="00036E71" w:rsidP="00036E71">
      <w:pPr>
        <w:pStyle w:val="PPVBody"/>
      </w:pPr>
      <w:r>
        <w:t>The Montague Precinct is challenging in relation to providing laneways due the smaller sites, and the range and location of</w:t>
      </w:r>
      <w:r w:rsidR="001A5377">
        <w:t xml:space="preserve"> the existing laneway network.</w:t>
      </w:r>
    </w:p>
    <w:p w:rsidR="00036E71" w:rsidRDefault="00036E71" w:rsidP="00036E71">
      <w:pPr>
        <w:pStyle w:val="PPVBody"/>
      </w:pPr>
      <w:r>
        <w:t>As discussed in the Overview report, the Review Panel recommends that laneways should be shown if they are essential for vehicle access, such as land locked sites or where a road is classified as ‘no crossovers’ and all other laneways should be resolved during the precinct plan</w:t>
      </w:r>
      <w:r w:rsidR="006A3175">
        <w:t>ning</w:t>
      </w:r>
      <w:r w:rsidR="001A5377">
        <w:t xml:space="preserve"> phase.</w:t>
      </w:r>
    </w:p>
    <w:p w:rsidR="00036E71" w:rsidRDefault="00036E71" w:rsidP="00036E71">
      <w:pPr>
        <w:pStyle w:val="PPVBody"/>
      </w:pPr>
      <w:r>
        <w:t xml:space="preserve">The Review Panel’s assessment of the Montague CCZ Map 1 suggests a number of properties toward the southern end of the precinct would require laneways, essential for traffic access, to support the </w:t>
      </w:r>
      <w:r w:rsidR="006A3175">
        <w:t>‘</w:t>
      </w:r>
      <w:r>
        <w:t>no crossover</w:t>
      </w:r>
      <w:r w:rsidR="006A3175">
        <w:t>’</w:t>
      </w:r>
      <w:r>
        <w:t xml:space="preserve"> status of City Road and Buckhurst Street</w:t>
      </w:r>
      <w:r w:rsidR="006A3175">
        <w:t>.  These</w:t>
      </w:r>
      <w:r>
        <w:t xml:space="preserve"> are highlighted on </w:t>
      </w:r>
      <w:r>
        <w:fldChar w:fldCharType="begin"/>
      </w:r>
      <w:r>
        <w:instrText xml:space="preserve"> REF _Ref518758787 \h </w:instrText>
      </w:r>
      <w:r>
        <w:fldChar w:fldCharType="separate"/>
      </w:r>
      <w:r w:rsidR="0028199F" w:rsidRPr="00D164A8">
        <w:t xml:space="preserve">Figure </w:t>
      </w:r>
      <w:r w:rsidR="0028199F">
        <w:rPr>
          <w:noProof/>
        </w:rPr>
        <w:t>4</w:t>
      </w:r>
      <w:r>
        <w:fldChar w:fldCharType="end"/>
      </w:r>
      <w:r w:rsidR="001A5377">
        <w:t>.</w:t>
      </w:r>
    </w:p>
    <w:p w:rsidR="00036E71" w:rsidRPr="00D164A8" w:rsidRDefault="00036E71" w:rsidP="00036E71">
      <w:pPr>
        <w:pStyle w:val="Caption"/>
      </w:pPr>
      <w:bookmarkStart w:id="85" w:name="_Ref518758787"/>
      <w:bookmarkStart w:id="86" w:name="_Toc518994445"/>
      <w:r w:rsidRPr="00D164A8">
        <w:lastRenderedPageBreak/>
        <w:t xml:space="preserve">Figure </w:t>
      </w:r>
      <w:r>
        <w:rPr>
          <w:noProof/>
        </w:rPr>
        <w:fldChar w:fldCharType="begin"/>
      </w:r>
      <w:r>
        <w:rPr>
          <w:noProof/>
        </w:rPr>
        <w:instrText xml:space="preserve"> SEQ Figure \* ARABIC </w:instrText>
      </w:r>
      <w:r>
        <w:rPr>
          <w:noProof/>
        </w:rPr>
        <w:fldChar w:fldCharType="separate"/>
      </w:r>
      <w:r w:rsidR="0028199F">
        <w:rPr>
          <w:noProof/>
        </w:rPr>
        <w:t>4</w:t>
      </w:r>
      <w:r>
        <w:rPr>
          <w:noProof/>
        </w:rPr>
        <w:fldChar w:fldCharType="end"/>
      </w:r>
      <w:bookmarkEnd w:id="85"/>
      <w:r>
        <w:tab/>
        <w:t>Essential laneways for traffic access and typical restricted access sites</w:t>
      </w:r>
      <w:bookmarkEnd w:id="86"/>
    </w:p>
    <w:p w:rsidR="00036E71" w:rsidRDefault="00036E71" w:rsidP="00036E71">
      <w:pPr>
        <w:pStyle w:val="PPVBody"/>
        <w:jc w:val="left"/>
      </w:pPr>
      <w:r w:rsidRPr="0092655D">
        <w:rPr>
          <w:noProof/>
        </w:rPr>
        <w:drawing>
          <wp:inline distT="0" distB="0" distL="0" distR="0" wp14:anchorId="582AC312" wp14:editId="7B8A7189">
            <wp:extent cx="4472951" cy="348712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0191" cy="3500567"/>
                    </a:xfrm>
                    <a:prstGeom prst="rect">
                      <a:avLst/>
                    </a:prstGeom>
                    <a:noFill/>
                    <a:ln>
                      <a:noFill/>
                    </a:ln>
                  </pic:spPr>
                </pic:pic>
              </a:graphicData>
            </a:graphic>
          </wp:inline>
        </w:drawing>
      </w:r>
    </w:p>
    <w:p w:rsidR="00036E71" w:rsidRDefault="006A3175" w:rsidP="00036E71">
      <w:pPr>
        <w:pStyle w:val="PPVBody"/>
      </w:pPr>
      <w:r>
        <w:t>During the course of the Hearing, t</w:t>
      </w:r>
      <w:r w:rsidR="00036E71">
        <w:t xml:space="preserve">he </w:t>
      </w:r>
      <w:r w:rsidR="00710CAA">
        <w:t xml:space="preserve">Minister agreed to show laneways in the Maps to the DDO as ‘indicative’. </w:t>
      </w:r>
      <w:r w:rsidR="00036E71">
        <w:t xml:space="preserve"> The Review Panel </w:t>
      </w:r>
      <w:r w:rsidR="00710CAA">
        <w:t xml:space="preserve">supports that position and </w:t>
      </w:r>
      <w:r w:rsidR="00036E71">
        <w:t>believes that optimal outcomes, and potentially superior solutions can be realised where flexibility is provided to designers and ar</w:t>
      </w:r>
      <w:r w:rsidR="00710CAA">
        <w:t xml:space="preserve">chitects.  </w:t>
      </w:r>
      <w:r>
        <w:t>In the Overview Report, the Review Panel found that non-essential laneways should not be shown on the maps until precinct planning was undertaken.  Accordingly, only the two laneways indicated on Figure 4 above should be shown on the maps at this stage.</w:t>
      </w:r>
    </w:p>
    <w:p w:rsidR="00036E71" w:rsidRDefault="00036E71" w:rsidP="00036E71">
      <w:pPr>
        <w:pStyle w:val="PPVBody"/>
      </w:pPr>
      <w:r>
        <w:t>As such, the laneway issues associated with 6 – 78 Buckhurst Street and 400 – 430 City Road</w:t>
      </w:r>
      <w:r w:rsidR="00710CAA">
        <w:t xml:space="preserve"> should be resolved during the P</w:t>
      </w:r>
      <w:r>
        <w:t>recinct plan phase where a finer level of detail will be available.</w:t>
      </w:r>
    </w:p>
    <w:p w:rsidR="00F23118" w:rsidRDefault="00F23118" w:rsidP="00F23118">
      <w:pPr>
        <w:pStyle w:val="PPVBody"/>
        <w:rPr>
          <w:rFonts w:asciiTheme="minorHAnsi" w:hAnsiTheme="minorHAnsi"/>
        </w:rPr>
      </w:pPr>
      <w:r>
        <w:rPr>
          <w:rFonts w:asciiTheme="minorHAnsi" w:hAnsiTheme="minorHAnsi"/>
        </w:rPr>
        <w:t>Figure 5 of the Port Phillip submission shows the existing laneway widths in Montague.  The Review Panel considers these contribute considerably to the fine grain</w:t>
      </w:r>
      <w:r w:rsidR="006A3175">
        <w:rPr>
          <w:rFonts w:asciiTheme="minorHAnsi" w:hAnsiTheme="minorHAnsi"/>
        </w:rPr>
        <w:t>ed</w:t>
      </w:r>
      <w:r>
        <w:rPr>
          <w:rFonts w:asciiTheme="minorHAnsi" w:hAnsiTheme="minorHAnsi"/>
        </w:rPr>
        <w:t xml:space="preserve"> </w:t>
      </w:r>
      <w:r w:rsidR="006A3175">
        <w:rPr>
          <w:rFonts w:asciiTheme="minorHAnsi" w:hAnsiTheme="minorHAnsi"/>
        </w:rPr>
        <w:t xml:space="preserve">character </w:t>
      </w:r>
      <w:r>
        <w:rPr>
          <w:rFonts w:asciiTheme="minorHAnsi" w:hAnsiTheme="minorHAnsi"/>
        </w:rPr>
        <w:t xml:space="preserve">of Montague and as many should be retained as possible in the future planning of Montague.  Noting that some of the smaller laneways will need to be widened to fulfil a vehicular access function, retention of these and/or building upon the </w:t>
      </w:r>
      <w:r w:rsidR="006A3175">
        <w:rPr>
          <w:rFonts w:asciiTheme="minorHAnsi" w:hAnsiTheme="minorHAnsi"/>
        </w:rPr>
        <w:t xml:space="preserve">laneway </w:t>
      </w:r>
      <w:r>
        <w:rPr>
          <w:rFonts w:asciiTheme="minorHAnsi" w:hAnsiTheme="minorHAnsi"/>
        </w:rPr>
        <w:t xml:space="preserve">structure already evident, should be taken into account going forward.  The Review Panel agrees with </w:t>
      </w:r>
      <w:r w:rsidR="006A3175">
        <w:rPr>
          <w:rFonts w:asciiTheme="minorHAnsi" w:hAnsiTheme="minorHAnsi"/>
        </w:rPr>
        <w:t xml:space="preserve">Port Phillip </w:t>
      </w:r>
      <w:r>
        <w:rPr>
          <w:rFonts w:asciiTheme="minorHAnsi" w:hAnsiTheme="minorHAnsi"/>
        </w:rPr>
        <w:t>that where there is a more diverse laneway network, a more diverse and modular outcome can be achieved that provide</w:t>
      </w:r>
      <w:r w:rsidR="006A3175">
        <w:rPr>
          <w:rFonts w:asciiTheme="minorHAnsi" w:hAnsiTheme="minorHAnsi"/>
        </w:rPr>
        <w:t>s</w:t>
      </w:r>
      <w:r>
        <w:rPr>
          <w:rFonts w:asciiTheme="minorHAnsi" w:hAnsiTheme="minorHAnsi"/>
        </w:rPr>
        <w:t xml:space="preserve"> good breaks, and creates pedestrian and vehicular access and permeability.</w:t>
      </w:r>
    </w:p>
    <w:p w:rsidR="0099675D" w:rsidRDefault="0099675D" w:rsidP="00F23118">
      <w:pPr>
        <w:pStyle w:val="PPVBody"/>
        <w:rPr>
          <w:rFonts w:asciiTheme="minorHAnsi" w:hAnsiTheme="minorHAnsi"/>
        </w:rPr>
      </w:pPr>
      <w:r>
        <w:rPr>
          <w:rFonts w:asciiTheme="minorHAnsi" w:hAnsiTheme="minorHAnsi"/>
        </w:rPr>
        <w:t xml:space="preserve">Further, Port Phillip noted that in the case of George Street, </w:t>
      </w:r>
      <w:r w:rsidRPr="0099675D">
        <w:rPr>
          <w:rFonts w:asciiTheme="minorHAnsi" w:hAnsiTheme="minorHAnsi"/>
          <w:i/>
        </w:rPr>
        <w:t>“… an emerging character of laneway activation has already started to occur.  Council considers there is an opportunity to make these laneways the key feature of Montague South”,</w:t>
      </w:r>
      <w:r>
        <w:rPr>
          <w:rFonts w:asciiTheme="minorHAnsi" w:hAnsiTheme="minorHAnsi"/>
        </w:rPr>
        <w:t xml:space="preserve"> a position with which the Review Panel agrees</w:t>
      </w:r>
      <w:r w:rsidR="00D77319">
        <w:rPr>
          <w:rFonts w:asciiTheme="minorHAnsi" w:hAnsiTheme="minorHAnsi"/>
        </w:rPr>
        <w:t>, particularly to ensure they do not evolve into access streets.</w:t>
      </w:r>
    </w:p>
    <w:p w:rsidR="00036E71" w:rsidRDefault="00036E71" w:rsidP="00036E71">
      <w:pPr>
        <w:pStyle w:val="Heading4"/>
      </w:pPr>
      <w:r>
        <w:lastRenderedPageBreak/>
        <w:t>Findings</w:t>
      </w:r>
    </w:p>
    <w:p w:rsidR="00036E71" w:rsidRDefault="00036E71" w:rsidP="00036E71">
      <w:pPr>
        <w:pStyle w:val="PPVBody"/>
      </w:pPr>
      <w:r>
        <w:t>The Review Panel finds:</w:t>
      </w:r>
    </w:p>
    <w:p w:rsidR="00036E71" w:rsidRDefault="006A3175" w:rsidP="00036E71">
      <w:pPr>
        <w:pStyle w:val="PPVBullet1"/>
      </w:pPr>
      <w:r>
        <w:t xml:space="preserve">Only the two laneways indicated on Figure 4 above should be included on the maps.  </w:t>
      </w:r>
      <w:r w:rsidR="00710CAA">
        <w:t xml:space="preserve">The final location of </w:t>
      </w:r>
      <w:r w:rsidR="00036E71">
        <w:t>laneway</w:t>
      </w:r>
      <w:r w:rsidR="00710CAA">
        <w:t>s</w:t>
      </w:r>
      <w:r w:rsidR="00036E71">
        <w:t xml:space="preserve"> </w:t>
      </w:r>
      <w:r w:rsidR="00AC679F">
        <w:t>will</w:t>
      </w:r>
      <w:r w:rsidR="00036E71">
        <w:t xml:space="preserve"> be res</w:t>
      </w:r>
      <w:r w:rsidR="00AC679F">
        <w:t>olved and clarified during the Precinct plan</w:t>
      </w:r>
      <w:r w:rsidR="00036E71">
        <w:t xml:space="preserve"> </w:t>
      </w:r>
      <w:r w:rsidR="00710CAA">
        <w:t>an</w:t>
      </w:r>
      <w:r w:rsidR="001A5377">
        <w:t>d/or permit application stage.</w:t>
      </w:r>
    </w:p>
    <w:p w:rsidR="00036E71" w:rsidRDefault="00036E71" w:rsidP="00036E71">
      <w:pPr>
        <w:pStyle w:val="Heading2"/>
      </w:pPr>
      <w:bookmarkStart w:id="87" w:name="_Toc518808698"/>
      <w:bookmarkStart w:id="88" w:name="_Toc519849281"/>
      <w:r>
        <w:t>Other traffic issues</w:t>
      </w:r>
      <w:bookmarkEnd w:id="87"/>
      <w:bookmarkEnd w:id="88"/>
    </w:p>
    <w:p w:rsidR="00036E71" w:rsidRDefault="00036E71" w:rsidP="00036E71">
      <w:pPr>
        <w:pStyle w:val="PPVBody"/>
      </w:pPr>
      <w:r>
        <w:t xml:space="preserve">Ms Dunstan submitted traffic evidence on behalf of </w:t>
      </w:r>
      <w:r w:rsidR="00AE1C26">
        <w:t xml:space="preserve">Samma Group and </w:t>
      </w:r>
      <w:r>
        <w:t>Spec Property Development Pty Ltd</w:t>
      </w:r>
      <w:r w:rsidR="00AE1C26">
        <w:t xml:space="preserve"> (S202)</w:t>
      </w:r>
      <w:r>
        <w:t xml:space="preserve"> regarding the draft Amendment’s impact on </w:t>
      </w:r>
      <w:r w:rsidRPr="001E0748">
        <w:t>272 – 280 Normanby Road, South Melbourne</w:t>
      </w:r>
      <w:r>
        <w:t>.</w:t>
      </w:r>
    </w:p>
    <w:p w:rsidR="00036E71" w:rsidRDefault="00036E71" w:rsidP="00036E71">
      <w:pPr>
        <w:pStyle w:val="PPVBody"/>
      </w:pPr>
      <w:r>
        <w:t>The application was for a mixed use development with 5 levels of car parking (one basement level and four podium levels) and vehicle access from Munro Street (generally in the same position as the existing vehicle crossing</w:t>
      </w:r>
      <w:r w:rsidR="001A5377">
        <w:t>).</w:t>
      </w:r>
    </w:p>
    <w:p w:rsidR="00036E71" w:rsidRDefault="00036E71" w:rsidP="00036E71">
      <w:pPr>
        <w:pStyle w:val="PPVBody"/>
      </w:pPr>
      <w:r>
        <w:t xml:space="preserve">She noted that the proposed road closure of Johnson Street should be clarified as Map 2 shows the road closure finishing short of Munro Street, while the draft Framework shows the road closure finishing in line with Munro Street.  The Review Panel notes that the </w:t>
      </w:r>
      <w:r w:rsidR="00AE1C26">
        <w:t>m</w:t>
      </w:r>
      <w:r>
        <w:t>aps have now been updated and show the road closure consistently in line with Munro Street.</w:t>
      </w:r>
    </w:p>
    <w:p w:rsidR="00036E71" w:rsidRDefault="00036E71" w:rsidP="00036E71">
      <w:pPr>
        <w:pStyle w:val="PPVBody"/>
      </w:pPr>
      <w:r>
        <w:t xml:space="preserve">Much </w:t>
      </w:r>
      <w:r w:rsidR="006A3175">
        <w:t xml:space="preserve">of </w:t>
      </w:r>
      <w:r w:rsidR="00710CAA">
        <w:t>Ms Dunstan</w:t>
      </w:r>
      <w:r w:rsidR="00AE1C26">
        <w:t>’</w:t>
      </w:r>
      <w:r w:rsidR="00710CAA">
        <w:t>s</w:t>
      </w:r>
      <w:r>
        <w:t xml:space="preserve"> evidence explored car parking rates and requirements, adaptable car parking areas and these issues are discussed in the Overview report.</w:t>
      </w:r>
    </w:p>
    <w:p w:rsidR="00A462FE" w:rsidRDefault="00F948F4" w:rsidP="00A462FE">
      <w:pPr>
        <w:pStyle w:val="Heading1"/>
      </w:pPr>
      <w:bookmarkStart w:id="89" w:name="_Toc519849282"/>
      <w:r>
        <w:lastRenderedPageBreak/>
        <w:t>Site specific issues</w:t>
      </w:r>
      <w:bookmarkEnd w:id="89"/>
    </w:p>
    <w:p w:rsidR="00D94C2B" w:rsidRDefault="00D94C2B" w:rsidP="00D94C2B">
      <w:pPr>
        <w:pStyle w:val="PPVBody"/>
        <w:rPr>
          <w:noProof/>
        </w:rPr>
      </w:pPr>
      <w:r>
        <w:rPr>
          <w:noProof/>
        </w:rPr>
        <w:t xml:space="preserve">This chapter highlights the </w:t>
      </w:r>
      <w:r w:rsidR="00444ABF">
        <w:rPr>
          <w:noProof/>
        </w:rPr>
        <w:t>key</w:t>
      </w:r>
      <w:r>
        <w:rPr>
          <w:noProof/>
        </w:rPr>
        <w:t xml:space="preserve"> issues </w:t>
      </w:r>
      <w:r w:rsidR="00A60B23">
        <w:rPr>
          <w:noProof/>
        </w:rPr>
        <w:t>raised in the submissions for Montague.</w:t>
      </w:r>
      <w:r w:rsidR="006F41EE">
        <w:rPr>
          <w:noProof/>
        </w:rPr>
        <w:t xml:space="preserve">  The Review Panel’s findings in relation to these issues are dealt with the previous Chapte</w:t>
      </w:r>
      <w:r w:rsidR="001A5377">
        <w:rPr>
          <w:noProof/>
        </w:rPr>
        <w:t>rs, and in the Overview Report.</w:t>
      </w:r>
    </w:p>
    <w:p w:rsidR="00444ABF" w:rsidRDefault="00444ABF" w:rsidP="00444ABF">
      <w:pPr>
        <w:pStyle w:val="Heading2"/>
      </w:pPr>
      <w:bookmarkStart w:id="90" w:name="_Toc519577311"/>
      <w:bookmarkStart w:id="91" w:name="_Toc519849283"/>
      <w:r>
        <w:t>Bay Street (S9)</w:t>
      </w:r>
      <w:bookmarkEnd w:id="90"/>
      <w:bookmarkEnd w:id="91"/>
    </w:p>
    <w:p w:rsidR="00444ABF" w:rsidRDefault="00444ABF" w:rsidP="00444ABF">
      <w:r>
        <w:t xml:space="preserve">This submission raised concerns about traffic congestion, safety and local traffic for proposed cycle paths and the impacts </w:t>
      </w:r>
      <w:r w:rsidR="0002563A">
        <w:t>of flooding on Montague Street.</w:t>
      </w:r>
    </w:p>
    <w:p w:rsidR="00444ABF" w:rsidRDefault="00444ABF" w:rsidP="00444ABF">
      <w:pPr>
        <w:pStyle w:val="Heading2"/>
      </w:pPr>
      <w:bookmarkStart w:id="92" w:name="_Toc519577312"/>
      <w:bookmarkStart w:id="93" w:name="_Toc519849284"/>
      <w:r>
        <w:t>70 – 104 Gladstone Street (S17)</w:t>
      </w:r>
      <w:bookmarkEnd w:id="92"/>
      <w:bookmarkEnd w:id="93"/>
      <w:r>
        <w:t xml:space="preserve"> </w:t>
      </w:r>
    </w:p>
    <w:p w:rsidR="00444ABF" w:rsidRDefault="00444ABF" w:rsidP="00473F58">
      <w:pPr>
        <w:pStyle w:val="PPVBody"/>
      </w:pPr>
      <w:r>
        <w:t xml:space="preserve">Elmarn Pty Ltd was represented by Mr Kalder who contended that </w:t>
      </w:r>
      <w:r w:rsidR="00AE1C26">
        <w:t>the exhibited</w:t>
      </w:r>
      <w:r>
        <w:t xml:space="preserve"> </w:t>
      </w:r>
      <w:r w:rsidR="00AE1C26">
        <w:t xml:space="preserve">core </w:t>
      </w:r>
      <w:r>
        <w:t>FAR of 6.1 would be more appropriate for their site as he considered that the site could support higher density.  He argued that the site's location between two core activity areas justifies a higher FAR and</w:t>
      </w:r>
      <w:r w:rsidR="00AE1C26">
        <w:t xml:space="preserve"> that</w:t>
      </w:r>
      <w:r>
        <w:t xml:space="preserve"> any greater development would not adversely impact Montague's population density.  Mr Kalder further argued that a discretionary height limit of eight storeys is inconsistent with </w:t>
      </w:r>
      <w:r w:rsidR="00AE1C26">
        <w:t>the emerging character of Montague.</w:t>
      </w:r>
    </w:p>
    <w:p w:rsidR="00444ABF" w:rsidRDefault="00444ABF" w:rsidP="00444ABF">
      <w:pPr>
        <w:pStyle w:val="PPVBody"/>
      </w:pPr>
      <w:r>
        <w:t>Mr Kalder submitted that the park identified for 87 Gladstone St</w:t>
      </w:r>
      <w:r w:rsidR="0059425F">
        <w:t>reet</w:t>
      </w:r>
      <w:r>
        <w:t xml:space="preserve"> is compromised due to the existing strata-subdivision layout of the site and the redevelopment of the site for public open space would be an ineffective use of public money.</w:t>
      </w:r>
    </w:p>
    <w:p w:rsidR="00AE1C26" w:rsidRDefault="00AE1C26" w:rsidP="00444ABF">
      <w:pPr>
        <w:pStyle w:val="PPVBody"/>
      </w:pPr>
      <w:r>
        <w:t>This site has now been included in the core area of Montague.</w:t>
      </w:r>
    </w:p>
    <w:p w:rsidR="00444ABF" w:rsidRDefault="00444ABF" w:rsidP="00444ABF">
      <w:pPr>
        <w:pStyle w:val="Heading2"/>
      </w:pPr>
      <w:bookmarkStart w:id="94" w:name="_Toc519577313"/>
      <w:bookmarkStart w:id="95" w:name="_Toc519849285"/>
      <w:r>
        <w:t>144 Ferrars Street (S57)</w:t>
      </w:r>
      <w:bookmarkEnd w:id="94"/>
      <w:bookmarkEnd w:id="95"/>
    </w:p>
    <w:p w:rsidR="00AE1C26" w:rsidRDefault="00444ABF" w:rsidP="00AE1C26">
      <w:pPr>
        <w:pStyle w:val="PPVBody"/>
      </w:pPr>
      <w:r>
        <w:t xml:space="preserve">This submission argued that there is insufficient justification for </w:t>
      </w:r>
      <w:r w:rsidR="00AE1C26">
        <w:t xml:space="preserve">the land at </w:t>
      </w:r>
      <w:r>
        <w:t>144 Ferrars St</w:t>
      </w:r>
      <w:r w:rsidR="00C06788">
        <w:t>reet</w:t>
      </w:r>
      <w:r>
        <w:t xml:space="preserve"> to be subject to heritage protection.  The submission opposed the use of mandatory controls and contended that existing permits and current applications be considered under transitional provisions.</w:t>
      </w:r>
      <w:bookmarkStart w:id="96" w:name="_Toc519577314"/>
      <w:r w:rsidR="001C6F6B">
        <w:t xml:space="preserve">  </w:t>
      </w:r>
    </w:p>
    <w:p w:rsidR="00444ABF" w:rsidRPr="00445060" w:rsidRDefault="00444ABF" w:rsidP="00444ABF">
      <w:pPr>
        <w:pStyle w:val="Heading2"/>
      </w:pPr>
      <w:bookmarkStart w:id="97" w:name="_Toc519849286"/>
      <w:r>
        <w:t>6 – 78 Buckhurst Street (S63)</w:t>
      </w:r>
      <w:bookmarkEnd w:id="96"/>
      <w:bookmarkEnd w:id="97"/>
    </w:p>
    <w:p w:rsidR="00444ABF" w:rsidRDefault="00444ABF" w:rsidP="00444ABF">
      <w:r>
        <w:t>Mr Pearce of Human Habitats spoke to this submission for Little Lan</w:t>
      </w:r>
      <w:r w:rsidR="0002563A">
        <w:t>e</w:t>
      </w:r>
      <w:r>
        <w:t xml:space="preserve"> Child Care, which opposed the draft F</w:t>
      </w:r>
      <w:r w:rsidR="00473F58">
        <w:t>f</w:t>
      </w:r>
      <w:r>
        <w:t xml:space="preserve">ramework and planning controls.  Mr Pearce noted that the limitations the draft Amendment would impose on development in locations such as Montague </w:t>
      </w:r>
      <w:r w:rsidR="0002563A" w:rsidRPr="0002563A">
        <w:rPr>
          <w:i/>
        </w:rPr>
        <w:t xml:space="preserve">“would </w:t>
      </w:r>
      <w:r w:rsidRPr="0002563A">
        <w:rPr>
          <w:i/>
        </w:rPr>
        <w:t>not serve the community well</w:t>
      </w:r>
      <w:r w:rsidR="0002563A">
        <w:t>”</w:t>
      </w:r>
      <w:r w:rsidR="001A5377">
        <w:t>.</w:t>
      </w:r>
    </w:p>
    <w:p w:rsidR="00444ABF" w:rsidRDefault="00444ABF" w:rsidP="00444ABF">
      <w:r>
        <w:t xml:space="preserve">Specifically he argued that a FAR of 6.1:1 is too low for this site, noting that it already had a planning </w:t>
      </w:r>
      <w:r w:rsidRPr="00E94A32">
        <w:t>permit granted for four 30 storey mixed use development towers in</w:t>
      </w:r>
      <w:r>
        <w:t xml:space="preserve"> late 2017.  It was contended that the proposed 20 storey limit was inconsistent with surrounding existing and approved built form.  Mr Pearce contended that setbacks and building separation should not be subject to mandatory controls, instead preferring that a performance based approach be considered.</w:t>
      </w:r>
    </w:p>
    <w:p w:rsidR="00444ABF" w:rsidRDefault="00444ABF" w:rsidP="00591580">
      <w:pPr>
        <w:pStyle w:val="PPVBody"/>
      </w:pPr>
      <w:r>
        <w:rPr>
          <w:noProof/>
        </w:rPr>
        <w:t xml:space="preserve">Mr Pearce argued that heritage controls were not appropriate for this site, given a permit has been issued for the demolition of the existing building at 6 Buckhurst Street.  Finally, Mr </w:t>
      </w:r>
      <w:r>
        <w:rPr>
          <w:noProof/>
        </w:rPr>
        <w:lastRenderedPageBreak/>
        <w:t>Pearce maintained that existing planning permits should be subject to transitional provisions.</w:t>
      </w:r>
    </w:p>
    <w:p w:rsidR="00444ABF" w:rsidRDefault="00444ABF" w:rsidP="00444ABF">
      <w:pPr>
        <w:pStyle w:val="PPVBody"/>
      </w:pPr>
      <w:r>
        <w:t>The Review Panel observes this is a significant site that will be critically important in defining how Buckhurst Street and the Montague South core will develop.</w:t>
      </w:r>
    </w:p>
    <w:p w:rsidR="00444ABF" w:rsidRDefault="00444ABF" w:rsidP="00444ABF">
      <w:pPr>
        <w:pStyle w:val="Heading2"/>
      </w:pPr>
      <w:bookmarkStart w:id="98" w:name="_Toc519577315"/>
      <w:bookmarkStart w:id="99" w:name="_Toc519849287"/>
      <w:r>
        <w:t>36 – 44 Gladstone Street (S67)</w:t>
      </w:r>
      <w:bookmarkEnd w:id="98"/>
      <w:bookmarkEnd w:id="99"/>
    </w:p>
    <w:p w:rsidR="00444ABF" w:rsidRDefault="00444ABF" w:rsidP="00444ABF">
      <w:r>
        <w:t>CBQ Corp was represented by Mr Riordan, who submitted that the FAR for their site is too low and that it does not align with the built form and characte</w:t>
      </w:r>
      <w:r w:rsidR="00AE1C26">
        <w:t>r sought for Montague.  It reco</w:t>
      </w:r>
      <w:r>
        <w:t>gnised that while narrow, their site was capable of being developed into a mid</w:t>
      </w:r>
      <w:r w:rsidR="00710CAA">
        <w:t>-</w:t>
      </w:r>
      <w:r>
        <w:t>rise, eight storey building.</w:t>
      </w:r>
    </w:p>
    <w:p w:rsidR="00444ABF" w:rsidRDefault="00444ABF" w:rsidP="00444ABF">
      <w:r>
        <w:t xml:space="preserve">The submission contended the FAU </w:t>
      </w:r>
      <w:r w:rsidR="00AE1C26">
        <w:t xml:space="preserve">mechanism </w:t>
      </w:r>
      <w:r>
        <w:t>should be revisited and that the draft Amendment lack</w:t>
      </w:r>
      <w:r w:rsidR="00C06788">
        <w:t>ed</w:t>
      </w:r>
      <w:r>
        <w:t xml:space="preserve"> detail around the amount of FAU permissible and transparency in the cost associated with calculating FAU.  The submission recommended a similar transparent process such as that of </w:t>
      </w:r>
      <w:r w:rsidRPr="000A3430">
        <w:rPr>
          <w:i/>
        </w:rPr>
        <w:t>Clause 22.03 - Floor Area Uplift and Delivery of Public</w:t>
      </w:r>
      <w:r>
        <w:t xml:space="preserve"> </w:t>
      </w:r>
      <w:r w:rsidRPr="000A3430">
        <w:rPr>
          <w:i/>
        </w:rPr>
        <w:t>Benefits</w:t>
      </w:r>
      <w:r>
        <w:t xml:space="preserve"> of the Melbourne Planning Scheme.</w:t>
      </w:r>
    </w:p>
    <w:p w:rsidR="00444ABF" w:rsidRDefault="00444ABF" w:rsidP="00444ABF">
      <w:r>
        <w:t xml:space="preserve">Mr Riordan argued that the building heights and setback requirements should be expressed in discretionary terms to provide flexibility to landowners. </w:t>
      </w:r>
      <w:r w:rsidR="009F7BE4">
        <w:t xml:space="preserve"> </w:t>
      </w:r>
      <w:r>
        <w:t>Mr Riorden sought that the Parking Overlay be reconsidered to provide a minimum of one parking space for three bedroom dwellings.</w:t>
      </w:r>
    </w:p>
    <w:p w:rsidR="00444ABF" w:rsidRDefault="00444ABF" w:rsidP="00444ABF">
      <w:pPr>
        <w:pStyle w:val="Heading2"/>
      </w:pPr>
      <w:bookmarkStart w:id="100" w:name="_Toc519577316"/>
      <w:bookmarkStart w:id="101" w:name="_Toc519849288"/>
      <w:r>
        <w:t>43 - 49, 51 – 65 Buckhurst Street et al (S83)</w:t>
      </w:r>
      <w:bookmarkEnd w:id="100"/>
      <w:bookmarkEnd w:id="101"/>
    </w:p>
    <w:p w:rsidR="00444ABF" w:rsidRDefault="00444ABF" w:rsidP="00444ABF">
      <w:r>
        <w:t>Whilst the public transport and open space initiatives were supported, the proposed mandatory built form contr</w:t>
      </w:r>
      <w:r w:rsidR="009F7BE4">
        <w:t>ols, including setbacks and FAU</w:t>
      </w:r>
      <w:r>
        <w:t>s were opposed as they were con</w:t>
      </w:r>
      <w:r w:rsidR="001A5377">
        <w:t>sidered unfeasible in Montague.</w:t>
      </w:r>
    </w:p>
    <w:p w:rsidR="00444ABF" w:rsidRDefault="00444ABF" w:rsidP="00444ABF">
      <w:pPr>
        <w:pStyle w:val="PPVBody"/>
        <w:rPr>
          <w:noProof/>
        </w:rPr>
      </w:pPr>
      <w:r>
        <w:rPr>
          <w:noProof/>
        </w:rPr>
        <w:t>The submission contrasted the proposed controls with existing development in Cremorne, North and West Melbourne and Preston, arguing that these areas have a greater density than that proposed in Montague.</w:t>
      </w:r>
    </w:p>
    <w:p w:rsidR="00444ABF" w:rsidRDefault="00444ABF" w:rsidP="00444ABF">
      <w:r>
        <w:t xml:space="preserve">The submission argued that the proposed FAUs in Montague </w:t>
      </w:r>
      <w:r w:rsidR="009F7BE4">
        <w:t>we</w:t>
      </w:r>
      <w:r>
        <w:t>re innappropriate due to the small size of the lots.</w:t>
      </w:r>
      <w:r w:rsidR="009F7BE4">
        <w:t xml:space="preserve"> </w:t>
      </w:r>
      <w:r>
        <w:t xml:space="preserve"> It contended that Montague should not be included within the F</w:t>
      </w:r>
      <w:r w:rsidR="008F71B1">
        <w:t>ishermans Bend renewal precinct</w:t>
      </w:r>
      <w:r>
        <w:t xml:space="preserve"> as it is more akin to South Melbourne.</w:t>
      </w:r>
    </w:p>
    <w:p w:rsidR="00444ABF" w:rsidRDefault="00444ABF" w:rsidP="00444ABF">
      <w:r>
        <w:t xml:space="preserve">Issues of land contamination were raised and it was contended that this be addressed on a </w:t>
      </w:r>
      <w:r w:rsidR="009F7BE4">
        <w:t>P</w:t>
      </w:r>
      <w:r>
        <w:t xml:space="preserve">recinct wide basis, as opposed to site by site. </w:t>
      </w:r>
      <w:r w:rsidR="009F7BE4">
        <w:t xml:space="preserve"> </w:t>
      </w:r>
      <w:r>
        <w:t xml:space="preserve">Mitigation responses to flooding were discussed and it was contended that raised floor levels </w:t>
      </w:r>
      <w:r w:rsidR="009F7BE4">
        <w:t xml:space="preserve">are </w:t>
      </w:r>
      <w:r>
        <w:t xml:space="preserve">inappropriate as </w:t>
      </w:r>
      <w:r w:rsidR="009F7BE4">
        <w:t>they could be used</w:t>
      </w:r>
      <w:r>
        <w:t xml:space="preserve"> for café and retail uses</w:t>
      </w:r>
      <w:r w:rsidR="009F7BE4">
        <w:t>.  Left undeveloped, they are</w:t>
      </w:r>
      <w:r w:rsidR="001A5377">
        <w:t xml:space="preserve"> visually unappealing.</w:t>
      </w:r>
    </w:p>
    <w:p w:rsidR="00444ABF" w:rsidRPr="009A6277" w:rsidRDefault="00444ABF" w:rsidP="00444ABF">
      <w:pPr>
        <w:pStyle w:val="Heading2"/>
      </w:pPr>
      <w:bookmarkStart w:id="102" w:name="_Toc519577317"/>
      <w:bookmarkStart w:id="103" w:name="_Toc519849289"/>
      <w:r w:rsidRPr="009A6277">
        <w:t>187 – 197 Normanby Road (S87) and others</w:t>
      </w:r>
      <w:bookmarkEnd w:id="102"/>
      <w:bookmarkEnd w:id="103"/>
    </w:p>
    <w:p w:rsidR="00444ABF" w:rsidRDefault="00444ABF" w:rsidP="00444ABF">
      <w:pPr>
        <w:pStyle w:val="PPVBody"/>
      </w:pPr>
      <w:r>
        <w:t xml:space="preserve">Mr </w:t>
      </w:r>
      <w:r w:rsidR="001C6F6B">
        <w:t>Tweedie</w:t>
      </w:r>
      <w:r>
        <w:t xml:space="preserve"> spoke to:</w:t>
      </w:r>
    </w:p>
    <w:p w:rsidR="00444ABF" w:rsidRPr="001C6F6B" w:rsidRDefault="008F71B1" w:rsidP="00444ABF">
      <w:pPr>
        <w:pStyle w:val="PPVBullet1"/>
      </w:pPr>
      <w:r w:rsidRPr="001C6F6B">
        <w:t xml:space="preserve">187 – 197 Normanby Road (S87 </w:t>
      </w:r>
      <w:r w:rsidR="00E45E0B" w:rsidRPr="001C6F6B">
        <w:t xml:space="preserve">- </w:t>
      </w:r>
      <w:r w:rsidRPr="001C6F6B">
        <w:t>L</w:t>
      </w:r>
      <w:r w:rsidR="00E45E0B" w:rsidRPr="001C6F6B">
        <w:t>ie</w:t>
      </w:r>
      <w:r w:rsidRPr="001C6F6B">
        <w:t xml:space="preserve"> Property)</w:t>
      </w:r>
      <w:r w:rsidR="001C6F6B" w:rsidRPr="001C6F6B">
        <w:t xml:space="preserve"> Pty Ltd</w:t>
      </w:r>
    </w:p>
    <w:p w:rsidR="00444ABF" w:rsidRPr="001C6F6B" w:rsidRDefault="008F71B1" w:rsidP="00444ABF">
      <w:pPr>
        <w:pStyle w:val="PPVBullet1"/>
      </w:pPr>
      <w:r w:rsidRPr="001C6F6B">
        <w:t>228 – 238 Normanby Road (S120</w:t>
      </w:r>
      <w:r w:rsidR="00E45E0B" w:rsidRPr="001C6F6B">
        <w:t xml:space="preserve"> - Perpetual Normanby Pty Ltd)</w:t>
      </w:r>
    </w:p>
    <w:p w:rsidR="00444ABF" w:rsidRPr="001C6F6B" w:rsidRDefault="00E45E0B" w:rsidP="00444ABF">
      <w:pPr>
        <w:pStyle w:val="PPVBullet1"/>
      </w:pPr>
      <w:r w:rsidRPr="001C6F6B">
        <w:t>235-243 Normanby Road (S207 - Normanby Road Developments Pty Ltd)</w:t>
      </w:r>
    </w:p>
    <w:p w:rsidR="00444ABF" w:rsidRDefault="00444ABF" w:rsidP="00444ABF">
      <w:pPr>
        <w:pStyle w:val="PPVBody"/>
      </w:pPr>
      <w:r>
        <w:lastRenderedPageBreak/>
        <w:t xml:space="preserve">He relied on the evidence from Mr Sheppard, Mr </w:t>
      </w:r>
      <w:r w:rsidRPr="009A6277">
        <w:t xml:space="preserve">McGurn and Ms Dunstan.  The site specific submissions made by Mr </w:t>
      </w:r>
      <w:r w:rsidR="001C6F6B">
        <w:t>Tweedie</w:t>
      </w:r>
      <w:r w:rsidRPr="009A6277">
        <w:t xml:space="preserve"> supplemented his </w:t>
      </w:r>
      <w:r w:rsidR="001C6F6B">
        <w:t xml:space="preserve">clients </w:t>
      </w:r>
      <w:r w:rsidRPr="009A6277">
        <w:t>primary submission made on behalf</w:t>
      </w:r>
      <w:r w:rsidR="009F7BE4">
        <w:t xml:space="preserve"> of various clients across all P</w:t>
      </w:r>
      <w:r w:rsidR="001A5377">
        <w:t>recincts.</w:t>
      </w:r>
    </w:p>
    <w:p w:rsidR="003E626F" w:rsidRDefault="003E626F" w:rsidP="00444ABF">
      <w:pPr>
        <w:pStyle w:val="PPVBody"/>
      </w:pPr>
      <w:r>
        <w:t>Lie Property has land at 187-197 Normanby Road and has submitted a planning permit application for a 40 storey podium tower that has b</w:t>
      </w:r>
      <w:r w:rsidR="001A5377">
        <w:t>een called in by the Minister.</w:t>
      </w:r>
    </w:p>
    <w:p w:rsidR="001C6F6B" w:rsidRDefault="001C6F6B" w:rsidP="00444ABF">
      <w:pPr>
        <w:pStyle w:val="PPVBody"/>
      </w:pPr>
      <w:r>
        <w:t xml:space="preserve">Normanby Road Developments has a current </w:t>
      </w:r>
      <w:r w:rsidR="003E626F">
        <w:t>planning permit application</w:t>
      </w:r>
      <w:r>
        <w:t xml:space="preserve"> for a 40 storey complex</w:t>
      </w:r>
      <w:r w:rsidR="003E626F">
        <w:t xml:space="preserve"> at 235-239 and 241-243 Normanby Road</w:t>
      </w:r>
      <w:r>
        <w:t>, and the site is now subject to a proposed 20 storey discretionary height.</w:t>
      </w:r>
    </w:p>
    <w:p w:rsidR="003E626F" w:rsidRDefault="003E626F" w:rsidP="00444ABF">
      <w:pPr>
        <w:pStyle w:val="PPVBody"/>
      </w:pPr>
      <w:r>
        <w:t>Perpetual Normanby has an existing planning permit for two mixed use towers at 39 and 49 storeys at 228-238 Normanby Road.</w:t>
      </w:r>
    </w:p>
    <w:p w:rsidR="00444ABF" w:rsidRDefault="00444ABF" w:rsidP="001C6F6B">
      <w:pPr>
        <w:pStyle w:val="PPVBody"/>
      </w:pPr>
      <w:r>
        <w:t xml:space="preserve">Mr </w:t>
      </w:r>
      <w:r w:rsidR="001C6F6B">
        <w:t xml:space="preserve">Tweedie’s submissions raised general concerns as well as site specific concerns for each of his clients.  </w:t>
      </w:r>
      <w:r w:rsidR="003E626F">
        <w:t>The general</w:t>
      </w:r>
      <w:r w:rsidR="001C6F6B">
        <w:t xml:space="preserve"> concerns related to building heights and FAR, mandatory requirements, proposed laneways, parking rates, population targets, transitional provisions, drafting errors in the planning</w:t>
      </w:r>
      <w:r w:rsidR="003E626F">
        <w:t xml:space="preserve"> controls.  These matters have been considered in the Overview report</w:t>
      </w:r>
    </w:p>
    <w:p w:rsidR="003E626F" w:rsidRDefault="003E626F" w:rsidP="001C6F6B">
      <w:pPr>
        <w:pStyle w:val="PPVBody"/>
      </w:pPr>
      <w:r>
        <w:t>Mr Tweedie submitted that higher heights are warranted in Montague for his clients sites due to proximity to the CBD and tram routes, the emerging character of the area, lack of sensitive abuttals, few impacts on heritage, flooding or environmental issues.</w:t>
      </w:r>
    </w:p>
    <w:p w:rsidR="003E626F" w:rsidRDefault="003E626F" w:rsidP="001C6F6B">
      <w:pPr>
        <w:pStyle w:val="PPVBody"/>
        <w:rPr>
          <w:noProof/>
        </w:rPr>
      </w:pPr>
      <w:r>
        <w:t>The Review Panel has dealt with many of the issues raised by Mr Tweedie in its Overview report.  In this Montague report, the Review Panel has noted that it generally supports the heights as exhibited coupled with a dwelling density control.  The Review Panel ma</w:t>
      </w:r>
      <w:r w:rsidR="000E3989">
        <w:t>k</w:t>
      </w:r>
      <w:r>
        <w:t>e</w:t>
      </w:r>
      <w:r w:rsidR="000E3989">
        <w:t>s</w:t>
      </w:r>
      <w:r>
        <w:t xml:space="preserve"> the observation that the built form for Montague will be of taller building</w:t>
      </w:r>
      <w:r w:rsidR="000E3989">
        <w:t xml:space="preserve"> elements</w:t>
      </w:r>
      <w:r>
        <w:t>, especially in Montague North.  It further observe</w:t>
      </w:r>
      <w:r w:rsidR="000E3989">
        <w:t>s</w:t>
      </w:r>
      <w:r>
        <w:t xml:space="preserve"> that this built form character will no doubt be punctuated with even taller </w:t>
      </w:r>
      <w:r w:rsidR="000E3989">
        <w:t xml:space="preserve">built form </w:t>
      </w:r>
      <w:r>
        <w:t xml:space="preserve">elements should existing </w:t>
      </w:r>
      <w:r w:rsidR="000E3989">
        <w:t>permits</w:t>
      </w:r>
      <w:r>
        <w:t xml:space="preserve"> be realised, and some current </w:t>
      </w:r>
      <w:r w:rsidR="000E3989">
        <w:t>applications</w:t>
      </w:r>
      <w:r>
        <w:t xml:space="preserve"> </w:t>
      </w:r>
      <w:r w:rsidR="000E3989">
        <w:t>being</w:t>
      </w:r>
      <w:r>
        <w:t xml:space="preserve"> </w:t>
      </w:r>
      <w:r w:rsidR="000E3989">
        <w:t>granted, as is the case with the recent appr</w:t>
      </w:r>
      <w:r w:rsidR="001A5377">
        <w:t>oval of 199-201 Normanby Road.</w:t>
      </w:r>
    </w:p>
    <w:p w:rsidR="00444ABF" w:rsidRPr="00A60EAC" w:rsidRDefault="00444ABF" w:rsidP="00444ABF">
      <w:pPr>
        <w:pStyle w:val="Heading2"/>
      </w:pPr>
      <w:bookmarkStart w:id="104" w:name="_Toc519577318"/>
      <w:bookmarkStart w:id="105" w:name="_Toc519849290"/>
      <w:r w:rsidRPr="00A60EAC">
        <w:t>2 – 28 Montague Street and 80 Munro Street (S90) and others</w:t>
      </w:r>
      <w:bookmarkEnd w:id="104"/>
      <w:bookmarkEnd w:id="105"/>
    </w:p>
    <w:p w:rsidR="00444ABF" w:rsidRDefault="00444ABF" w:rsidP="00444ABF">
      <w:pPr>
        <w:pStyle w:val="PPVBody"/>
      </w:pPr>
      <w:r>
        <w:t>Mr Wren spoke to:</w:t>
      </w:r>
    </w:p>
    <w:p w:rsidR="00444ABF" w:rsidRDefault="00444ABF" w:rsidP="00444ABF">
      <w:pPr>
        <w:pStyle w:val="PPVBullet1"/>
      </w:pPr>
      <w:r>
        <w:t xml:space="preserve">2 – 28 Montague </w:t>
      </w:r>
      <w:r w:rsidR="00E45E0B">
        <w:t xml:space="preserve">Street and 80 Munro Street (S90 </w:t>
      </w:r>
      <w:r w:rsidR="000E3989">
        <w:t>–</w:t>
      </w:r>
      <w:r w:rsidR="00E45E0B">
        <w:t xml:space="preserve"> </w:t>
      </w:r>
      <w:r w:rsidR="000E3989">
        <w:t>Gurner)</w:t>
      </w:r>
    </w:p>
    <w:p w:rsidR="00444ABF" w:rsidRDefault="00444ABF" w:rsidP="00444ABF">
      <w:pPr>
        <w:pStyle w:val="PPVBullet1"/>
      </w:pPr>
      <w:r>
        <w:t>3</w:t>
      </w:r>
      <w:r w:rsidR="00E45E0B">
        <w:t>0 – 38 Thistle</w:t>
      </w:r>
      <w:r w:rsidR="0059425F">
        <w:t>th</w:t>
      </w:r>
      <w:r w:rsidR="00E45E0B">
        <w:t xml:space="preserve">waite Street (S91 </w:t>
      </w:r>
      <w:r w:rsidR="000E3989">
        <w:t>–</w:t>
      </w:r>
      <w:r w:rsidR="00E45E0B">
        <w:t xml:space="preserve"> </w:t>
      </w:r>
      <w:r w:rsidR="000E3989">
        <w:t>E133 Property Development Pty Ltd)</w:t>
      </w:r>
    </w:p>
    <w:p w:rsidR="00444ABF" w:rsidRDefault="00E45E0B" w:rsidP="00444ABF">
      <w:pPr>
        <w:pStyle w:val="PPVBullet1"/>
      </w:pPr>
      <w:r>
        <w:t xml:space="preserve">91 – 93 Montague Street (S94 </w:t>
      </w:r>
      <w:r w:rsidR="000E3989">
        <w:t>–</w:t>
      </w:r>
      <w:r>
        <w:t xml:space="preserve"> </w:t>
      </w:r>
      <w:r w:rsidR="000E3989">
        <w:t>Thousand Degree Pty Ltd)</w:t>
      </w:r>
    </w:p>
    <w:p w:rsidR="00444ABF" w:rsidRDefault="00444ABF" w:rsidP="00444ABF">
      <w:pPr>
        <w:pStyle w:val="PPVBullet1"/>
      </w:pPr>
      <w:r>
        <w:t>20</w:t>
      </w:r>
      <w:r w:rsidR="00E45E0B">
        <w:t xml:space="preserve">3 – 205 Normanby Road (S95 </w:t>
      </w:r>
      <w:r w:rsidR="000E3989">
        <w:t>–</w:t>
      </w:r>
      <w:r w:rsidR="00E45E0B">
        <w:t xml:space="preserve"> </w:t>
      </w:r>
      <w:r w:rsidR="000E3989">
        <w:t>Lutkas Pty Ltd)</w:t>
      </w:r>
    </w:p>
    <w:p w:rsidR="00444ABF" w:rsidRDefault="00444ABF" w:rsidP="00444ABF">
      <w:pPr>
        <w:pStyle w:val="PPVBullet1"/>
      </w:pPr>
      <w:r>
        <w:t>248 – 254, 256 – 26</w:t>
      </w:r>
      <w:r w:rsidR="00E45E0B">
        <w:t xml:space="preserve">2, 264 – 270 Normanby Road (S96 </w:t>
      </w:r>
      <w:r w:rsidR="000E3989">
        <w:t>–</w:t>
      </w:r>
      <w:r w:rsidR="00E45E0B">
        <w:t xml:space="preserve"> </w:t>
      </w:r>
      <w:r w:rsidR="000E3989">
        <w:t>Gladyslake Pty Ltd, Ausun Property CBD Pty Ltd, DW Keira Pty Ltd)</w:t>
      </w:r>
    </w:p>
    <w:p w:rsidR="00444ABF" w:rsidRDefault="00E45E0B" w:rsidP="00444ABF">
      <w:pPr>
        <w:pStyle w:val="PPVBullet1"/>
      </w:pPr>
      <w:r>
        <w:t xml:space="preserve">123 Montague Street (S173 </w:t>
      </w:r>
      <w:r w:rsidR="000E3989">
        <w:t>–</w:t>
      </w:r>
      <w:r>
        <w:t xml:space="preserve"> </w:t>
      </w:r>
      <w:r w:rsidR="000E3989">
        <w:t>EPC Pacific Pty Ltd)</w:t>
      </w:r>
    </w:p>
    <w:p w:rsidR="000E3989" w:rsidRDefault="000E3989" w:rsidP="00444ABF">
      <w:pPr>
        <w:pStyle w:val="PPVBullet1"/>
      </w:pPr>
      <w:r>
        <w:t>166 and 134-150 Buckhurst Street (S131 – the Jane Property Group)</w:t>
      </w:r>
      <w:r w:rsidR="001A5377">
        <w:t>.</w:t>
      </w:r>
    </w:p>
    <w:p w:rsidR="00444ABF" w:rsidRDefault="00444ABF" w:rsidP="00444ABF">
      <w:pPr>
        <w:pStyle w:val="PPVBody"/>
      </w:pPr>
      <w:r>
        <w:t xml:space="preserve">Mr Wren </w:t>
      </w:r>
      <w:r w:rsidR="00710CAA">
        <w:t xml:space="preserve">supplemented his primary submissions and relied on the evidence of Mr Sheppard. He </w:t>
      </w:r>
      <w:r>
        <w:t>contended that the population and employment targets lack suffi</w:t>
      </w:r>
      <w:r w:rsidR="00473F58">
        <w:t>cient</w:t>
      </w:r>
      <w:r>
        <w:t xml:space="preserve"> justification</w:t>
      </w:r>
      <w:r w:rsidR="00C00D4A">
        <w:t xml:space="preserve"> and questioned the scope of review of the Review Panel.  </w:t>
      </w:r>
      <w:r>
        <w:t>In considering the longer term viability of the redevelopment of Mont</w:t>
      </w:r>
      <w:r w:rsidR="000E3989">
        <w:t>a</w:t>
      </w:r>
      <w:r>
        <w:t xml:space="preserve">gue, Mr Wren questioned the ability for the additional </w:t>
      </w:r>
      <w:r w:rsidR="00C00D4A">
        <w:t>targeted</w:t>
      </w:r>
      <w:r>
        <w:t xml:space="preserve"> commer</w:t>
      </w:r>
      <w:r w:rsidR="000E3989">
        <w:t>cial</w:t>
      </w:r>
      <w:r>
        <w:t xml:space="preserve"> land use to be realistically delivered, marketed and tenanted.</w:t>
      </w:r>
    </w:p>
    <w:p w:rsidR="00444ABF" w:rsidRDefault="00444ABF" w:rsidP="00444ABF">
      <w:pPr>
        <w:pStyle w:val="PPVBody"/>
      </w:pPr>
      <w:r w:rsidRPr="00F646EA">
        <w:lastRenderedPageBreak/>
        <w:t xml:space="preserve">In relation to built form controls, Mr Wren </w:t>
      </w:r>
      <w:r w:rsidR="00710CAA">
        <w:t>submitted</w:t>
      </w:r>
      <w:r w:rsidRPr="00F646EA">
        <w:t xml:space="preserve"> that the proposed FAR is low, meaning that </w:t>
      </w:r>
      <w:r>
        <w:t>in many cases the</w:t>
      </w:r>
      <w:r w:rsidRPr="00F646EA">
        <w:t xml:space="preserve"> FAU mechanism </w:t>
      </w:r>
      <w:r>
        <w:t>will need to be utilised to ensure the development is viable.</w:t>
      </w:r>
      <w:r w:rsidR="00914D90">
        <w:t xml:space="preserve"> </w:t>
      </w:r>
      <w:r>
        <w:t xml:space="preserve"> Mr Wren argued that the controls should not be expressed as mandatory in order to allow for architectural expression and site responsive design. </w:t>
      </w:r>
      <w:r w:rsidR="00914D90">
        <w:t xml:space="preserve"> </w:t>
      </w:r>
      <w:r>
        <w:t>He considered that the Parking Overlay provisions required reconsideration for both office and dwelling.</w:t>
      </w:r>
    </w:p>
    <w:p w:rsidR="00444ABF" w:rsidRDefault="00444ABF" w:rsidP="00444ABF">
      <w:pPr>
        <w:pStyle w:val="PPVBody"/>
      </w:pPr>
      <w:r>
        <w:t xml:space="preserve">In discussing the FAU, Mr Wren held that the ability to achieve the FAU is limited to specific terms and does not clearly establish a nexus or need method, with limited transparency to the securing of the benefit. </w:t>
      </w:r>
      <w:r w:rsidR="00914D90">
        <w:t xml:space="preserve"> </w:t>
      </w:r>
      <w:r>
        <w:t>Mr Wren argued that the lack of transitional provisions would have a significant impact on existing planning permit applications and threated the confidence of investment within Fisher</w:t>
      </w:r>
      <w:r w:rsidR="001A5377">
        <w:t>mans Bend.</w:t>
      </w:r>
    </w:p>
    <w:p w:rsidR="00C00D4A" w:rsidRDefault="00C00D4A" w:rsidP="00444ABF">
      <w:pPr>
        <w:pStyle w:val="PPVBody"/>
      </w:pPr>
      <w:r>
        <w:t xml:space="preserve">Mr Wren relied on his opening submissions (D263), as well as D48 which was a book of plans provided at the second site inspection that detailed his clients sites within Montague and other precincts.  </w:t>
      </w:r>
      <w:r w:rsidR="00A656AD">
        <w:t>Further, he submitted DM11 and DM12, which included an addenda from Mr Sheppard.</w:t>
      </w:r>
    </w:p>
    <w:p w:rsidR="000E3989" w:rsidRDefault="000E3989" w:rsidP="000E3989">
      <w:pPr>
        <w:pStyle w:val="PPVBody"/>
      </w:pPr>
      <w:r>
        <w:t>Mr Wren raised concern with the nomination of the Montague Arts and Cultural Hub on land at 134-150 Buckhurst Street.  Additionally, it was argued that the application of the DPO, combined with the other planning provisions would result in a</w:t>
      </w:r>
      <w:r w:rsidR="001A5377">
        <w:t>n overly prescriptive approach.</w:t>
      </w:r>
    </w:p>
    <w:p w:rsidR="000E3989" w:rsidRDefault="000E3989" w:rsidP="000E3989">
      <w:pPr>
        <w:pStyle w:val="PPVBody"/>
      </w:pPr>
      <w:r>
        <w:t xml:space="preserve">As with the clients of Mr Tweedie in </w:t>
      </w:r>
      <w:r w:rsidR="00473F58">
        <w:t>Chapter 8.7, these matters have been dealt with in the Overview report</w:t>
      </w:r>
      <w:r w:rsidR="00C00D4A">
        <w:t>.</w:t>
      </w:r>
    </w:p>
    <w:p w:rsidR="00D01D43" w:rsidRPr="00753E5E" w:rsidRDefault="00D01D43" w:rsidP="000E3989">
      <w:pPr>
        <w:pStyle w:val="PPVBody"/>
      </w:pPr>
      <w:r>
        <w:t>Most specifically, the Review Panel agrees with the recommendation that 123 Montague Street by increased in height to 18 storeys.</w:t>
      </w:r>
    </w:p>
    <w:p w:rsidR="00444ABF" w:rsidRDefault="00444ABF" w:rsidP="00444ABF">
      <w:pPr>
        <w:pStyle w:val="Heading2"/>
      </w:pPr>
      <w:bookmarkStart w:id="106" w:name="_Toc519577319"/>
      <w:bookmarkStart w:id="107" w:name="_Toc519849291"/>
      <w:r>
        <w:t>171 – 183 Ferrars Street (S93)</w:t>
      </w:r>
      <w:bookmarkEnd w:id="106"/>
      <w:bookmarkEnd w:id="107"/>
    </w:p>
    <w:p w:rsidR="00444ABF" w:rsidRDefault="00444ABF" w:rsidP="00444ABF">
      <w:pPr>
        <w:rPr>
          <w:noProof w:val="0"/>
        </w:rPr>
      </w:pPr>
      <w:r>
        <w:rPr>
          <w:noProof w:val="0"/>
        </w:rPr>
        <w:t xml:space="preserve">One Eight One </w:t>
      </w:r>
      <w:r w:rsidR="00E45E0B">
        <w:rPr>
          <w:noProof w:val="0"/>
        </w:rPr>
        <w:t xml:space="preserve">Pty Ltd </w:t>
      </w:r>
      <w:r>
        <w:rPr>
          <w:noProof w:val="0"/>
        </w:rPr>
        <w:t>arg</w:t>
      </w:r>
      <w:r w:rsidR="00E45E0B">
        <w:rPr>
          <w:noProof w:val="0"/>
        </w:rPr>
        <w:t>u</w:t>
      </w:r>
      <w:r>
        <w:rPr>
          <w:noProof w:val="0"/>
        </w:rPr>
        <w:t xml:space="preserve">ed through its written submission </w:t>
      </w:r>
      <w:r w:rsidR="00914D90">
        <w:rPr>
          <w:noProof w:val="0"/>
        </w:rPr>
        <w:t xml:space="preserve">that </w:t>
      </w:r>
      <w:r>
        <w:rPr>
          <w:noProof w:val="0"/>
        </w:rPr>
        <w:t xml:space="preserve">the shift from 18 storey to 8 storey heights is unjustified and will not </w:t>
      </w:r>
      <w:r w:rsidR="00C00D4A">
        <w:rPr>
          <w:noProof w:val="0"/>
        </w:rPr>
        <w:t>enable</w:t>
      </w:r>
      <w:r>
        <w:rPr>
          <w:noProof w:val="0"/>
        </w:rPr>
        <w:t xml:space="preserve"> population targets to be met.  Further </w:t>
      </w:r>
      <w:r w:rsidR="00914D90">
        <w:rPr>
          <w:noProof w:val="0"/>
        </w:rPr>
        <w:t>it noted there</w:t>
      </w:r>
      <w:r>
        <w:rPr>
          <w:noProof w:val="0"/>
        </w:rPr>
        <w:t xml:space="preserve"> is a lack of government commitment to delivering public transport proposals</w:t>
      </w:r>
      <w:r w:rsidR="00914D90">
        <w:rPr>
          <w:noProof w:val="0"/>
        </w:rPr>
        <w:t xml:space="preserve">. </w:t>
      </w:r>
      <w:r>
        <w:rPr>
          <w:noProof w:val="0"/>
        </w:rPr>
        <w:t xml:space="preserve"> </w:t>
      </w:r>
      <w:r w:rsidR="00914D90">
        <w:rPr>
          <w:noProof w:val="0"/>
        </w:rPr>
        <w:t>T</w:t>
      </w:r>
      <w:r>
        <w:rPr>
          <w:noProof w:val="0"/>
        </w:rPr>
        <w:t>ransitional provision</w:t>
      </w:r>
      <w:r w:rsidR="00914D90">
        <w:rPr>
          <w:noProof w:val="0"/>
        </w:rPr>
        <w:t>s</w:t>
      </w:r>
      <w:r>
        <w:rPr>
          <w:noProof w:val="0"/>
        </w:rPr>
        <w:t xml:space="preserve"> that protect existing permits and application should be introduced.</w:t>
      </w:r>
    </w:p>
    <w:p w:rsidR="00444ABF" w:rsidRDefault="00444ABF" w:rsidP="00444ABF">
      <w:pPr>
        <w:pStyle w:val="Heading2"/>
      </w:pPr>
      <w:bookmarkStart w:id="108" w:name="_Toc519577320"/>
      <w:bookmarkStart w:id="109" w:name="_Toc519849292"/>
      <w:r>
        <w:t>156 – 162 Thistle</w:t>
      </w:r>
      <w:r w:rsidR="00710CAA">
        <w:t>th</w:t>
      </w:r>
      <w:r>
        <w:t>waite Street (S115)</w:t>
      </w:r>
      <w:bookmarkEnd w:id="108"/>
      <w:bookmarkEnd w:id="109"/>
    </w:p>
    <w:p w:rsidR="00444ABF" w:rsidRDefault="00444ABF" w:rsidP="00444ABF">
      <w:r>
        <w:t>Thistle</w:t>
      </w:r>
      <w:r w:rsidR="00710CAA">
        <w:t>th</w:t>
      </w:r>
      <w:r>
        <w:t xml:space="preserve">waite Street </w:t>
      </w:r>
      <w:r w:rsidR="00914D90">
        <w:t>Pty Ltd</w:t>
      </w:r>
      <w:r>
        <w:t xml:space="preserve"> w</w:t>
      </w:r>
      <w:r w:rsidR="00710CAA">
        <w:t>as</w:t>
      </w:r>
      <w:r>
        <w:t xml:space="preserve"> represented by Ms Collingwood and submitted that the application for the standard Clause 52.06 requirements should be maintained and the Parking Overlay be reconsidered. </w:t>
      </w:r>
      <w:r w:rsidR="00914D90">
        <w:t xml:space="preserve"> </w:t>
      </w:r>
      <w:r>
        <w:t>The submission supported the evidence of Mr Barnes and concerns expressed by Ms Dunstan and Mr Walsh in relation to the application of a 0.5 car parking rate per dwelling, prior to the</w:t>
      </w:r>
      <w:r w:rsidR="001A5377">
        <w:t xml:space="preserve"> provision of public transport.</w:t>
      </w:r>
    </w:p>
    <w:p w:rsidR="00444ABF" w:rsidRPr="00D01D43" w:rsidRDefault="00444ABF" w:rsidP="00444ABF">
      <w:pPr>
        <w:pStyle w:val="Heading2"/>
      </w:pPr>
      <w:bookmarkStart w:id="110" w:name="_Toc519577322"/>
      <w:bookmarkStart w:id="111" w:name="_Toc519849293"/>
      <w:r w:rsidRPr="00D01D43">
        <w:t>176 – 188 Gladstone Street (S123)</w:t>
      </w:r>
      <w:bookmarkEnd w:id="110"/>
      <w:bookmarkEnd w:id="111"/>
    </w:p>
    <w:p w:rsidR="00444ABF" w:rsidRPr="00D01D43" w:rsidRDefault="00444ABF" w:rsidP="00444ABF">
      <w:pPr>
        <w:rPr>
          <w:noProof w:val="0"/>
        </w:rPr>
      </w:pPr>
      <w:r w:rsidRPr="00D01D43">
        <w:rPr>
          <w:noProof w:val="0"/>
        </w:rPr>
        <w:t xml:space="preserve">Carri Nominees </w:t>
      </w:r>
      <w:r w:rsidR="00E45E0B" w:rsidRPr="00D01D43">
        <w:rPr>
          <w:noProof w:val="0"/>
        </w:rPr>
        <w:t xml:space="preserve">Pty Ltd </w:t>
      </w:r>
      <w:r w:rsidRPr="00D01D43">
        <w:rPr>
          <w:noProof w:val="0"/>
        </w:rPr>
        <w:t xml:space="preserve">were represented by Ms Collingwood and its principle issue was that the eight storey height limit is unjustified and should be revised to </w:t>
      </w:r>
      <w:r w:rsidR="00D01D43" w:rsidRPr="00D01D43">
        <w:rPr>
          <w:noProof w:val="0"/>
        </w:rPr>
        <w:t>12</w:t>
      </w:r>
      <w:r w:rsidR="001A5377">
        <w:rPr>
          <w:noProof w:val="0"/>
        </w:rPr>
        <w:t xml:space="preserve"> storeys.</w:t>
      </w:r>
    </w:p>
    <w:p w:rsidR="00444ABF" w:rsidRDefault="00444ABF" w:rsidP="00444ABF">
      <w:pPr>
        <w:rPr>
          <w:noProof w:val="0"/>
        </w:rPr>
      </w:pPr>
      <w:r w:rsidRPr="00D01D43">
        <w:rPr>
          <w:noProof w:val="0"/>
        </w:rPr>
        <w:t xml:space="preserve">It was submitted that proposed non-core FAR of 3.6:1 in this part of Montague created a mismatch with the proposed height limit, generating a maximum building height </w:t>
      </w:r>
      <w:r w:rsidR="00473F58" w:rsidRPr="00D01D43">
        <w:rPr>
          <w:noProof w:val="0"/>
        </w:rPr>
        <w:t>substantially</w:t>
      </w:r>
      <w:r w:rsidRPr="00D01D43">
        <w:rPr>
          <w:noProof w:val="0"/>
        </w:rPr>
        <w:t xml:space="preserve"> lower than the discretionary building height of </w:t>
      </w:r>
      <w:r w:rsidR="00E45E0B" w:rsidRPr="00D01D43">
        <w:rPr>
          <w:noProof w:val="0"/>
        </w:rPr>
        <w:t>eight</w:t>
      </w:r>
      <w:r w:rsidR="00914D90" w:rsidRPr="00D01D43">
        <w:rPr>
          <w:noProof w:val="0"/>
        </w:rPr>
        <w:t xml:space="preserve"> </w:t>
      </w:r>
      <w:r w:rsidRPr="00D01D43">
        <w:rPr>
          <w:noProof w:val="0"/>
        </w:rPr>
        <w:t>storeys.</w:t>
      </w:r>
    </w:p>
    <w:p w:rsidR="00D01D43" w:rsidRDefault="00D01D43" w:rsidP="00444ABF">
      <w:pPr>
        <w:rPr>
          <w:noProof w:val="0"/>
        </w:rPr>
      </w:pPr>
      <w:r>
        <w:rPr>
          <w:noProof w:val="0"/>
        </w:rPr>
        <w:lastRenderedPageBreak/>
        <w:t>The Review Panel accepts that the site should be in the core of Montague but it does not accept that the height should be increased from 8 to 12 storeys.</w:t>
      </w:r>
    </w:p>
    <w:p w:rsidR="00444ABF" w:rsidRDefault="00444ABF" w:rsidP="00444ABF">
      <w:pPr>
        <w:pStyle w:val="Heading2"/>
      </w:pPr>
      <w:bookmarkStart w:id="112" w:name="_Toc519577324"/>
      <w:bookmarkStart w:id="113" w:name="_Toc519849294"/>
      <w:r>
        <w:t>245 – 251 Normanby Road (S135), 202-214 Normanby Road (S137)</w:t>
      </w:r>
      <w:bookmarkEnd w:id="112"/>
      <w:bookmarkEnd w:id="113"/>
    </w:p>
    <w:p w:rsidR="00444ABF" w:rsidRDefault="00444ABF" w:rsidP="00444ABF">
      <w:pPr>
        <w:rPr>
          <w:noProof w:val="0"/>
        </w:rPr>
      </w:pPr>
      <w:r>
        <w:rPr>
          <w:noProof w:val="0"/>
        </w:rPr>
        <w:t xml:space="preserve">BEG Properties </w:t>
      </w:r>
      <w:r w:rsidR="00E45E0B">
        <w:rPr>
          <w:noProof w:val="0"/>
        </w:rPr>
        <w:t xml:space="preserve">Pty Ltd </w:t>
      </w:r>
      <w:r>
        <w:rPr>
          <w:noProof w:val="0"/>
        </w:rPr>
        <w:t xml:space="preserve">(S135) and 202N </w:t>
      </w:r>
      <w:r w:rsidR="00E45E0B">
        <w:rPr>
          <w:noProof w:val="0"/>
        </w:rPr>
        <w:t xml:space="preserve">Pty Ltd </w:t>
      </w:r>
      <w:r>
        <w:rPr>
          <w:noProof w:val="0"/>
        </w:rPr>
        <w:t>(S137) provided written submissions, prepared by HWL Ebsworth Lawyers.  The submissions contended that detailed design is premature due to uncertainty around the projected population densities, that the proposed FAR for the site would represent a poor planning outcome and that the proposed height limit will result</w:t>
      </w:r>
      <w:r w:rsidR="00914D90">
        <w:rPr>
          <w:noProof w:val="0"/>
        </w:rPr>
        <w:t xml:space="preserve"> in undercapitalisation of the P</w:t>
      </w:r>
      <w:r w:rsidR="001A5377">
        <w:rPr>
          <w:noProof w:val="0"/>
        </w:rPr>
        <w:t>recinct.</w:t>
      </w:r>
    </w:p>
    <w:p w:rsidR="00444ABF" w:rsidRDefault="00444ABF" w:rsidP="00444ABF">
      <w:pPr>
        <w:rPr>
          <w:noProof w:val="0"/>
        </w:rPr>
      </w:pPr>
      <w:r>
        <w:rPr>
          <w:noProof w:val="0"/>
        </w:rPr>
        <w:t xml:space="preserve">202N </w:t>
      </w:r>
      <w:r w:rsidR="00E45E0B">
        <w:rPr>
          <w:noProof w:val="0"/>
        </w:rPr>
        <w:t xml:space="preserve">Pty Ltd </w:t>
      </w:r>
      <w:r>
        <w:rPr>
          <w:noProof w:val="0"/>
        </w:rPr>
        <w:t>w</w:t>
      </w:r>
      <w:r w:rsidR="001F6012">
        <w:rPr>
          <w:noProof w:val="0"/>
        </w:rPr>
        <w:t>as</w:t>
      </w:r>
      <w:r>
        <w:rPr>
          <w:noProof w:val="0"/>
        </w:rPr>
        <w:t xml:space="preserve"> represented by Mr Gelber </w:t>
      </w:r>
      <w:r w:rsidR="001F6012">
        <w:rPr>
          <w:noProof w:val="0"/>
        </w:rPr>
        <w:t xml:space="preserve">who </w:t>
      </w:r>
      <w:r>
        <w:rPr>
          <w:noProof w:val="0"/>
        </w:rPr>
        <w:t>detailed the significant costs incurred since the commencement of a planning process for the development of the site.  Mr Gelber raised concerns about the Parking Overlay, the need for further detail in relation to the FAU mechanisms and the need for transitional provisions.</w:t>
      </w:r>
    </w:p>
    <w:p w:rsidR="00444ABF" w:rsidRPr="009A6277" w:rsidRDefault="00444ABF" w:rsidP="00444ABF">
      <w:pPr>
        <w:pStyle w:val="Heading2"/>
      </w:pPr>
      <w:bookmarkStart w:id="114" w:name="_Toc519577325"/>
      <w:bookmarkStart w:id="115" w:name="_Toc519849295"/>
      <w:r w:rsidRPr="009A6277">
        <w:t>400 – 430 City Road (S143)</w:t>
      </w:r>
      <w:bookmarkEnd w:id="114"/>
      <w:bookmarkEnd w:id="115"/>
    </w:p>
    <w:p w:rsidR="00444ABF" w:rsidRDefault="00444ABF" w:rsidP="00444ABF">
      <w:r>
        <w:t xml:space="preserve">Wadhawan Holdings </w:t>
      </w:r>
      <w:r w:rsidR="001F6012">
        <w:t>Pty Ltd</w:t>
      </w:r>
      <w:r>
        <w:t xml:space="preserve"> was represented by Ms Collingwood and relied on the ev</w:t>
      </w:r>
      <w:r w:rsidR="001A5377">
        <w:t>idence of Mr Song and Mr Walsh.</w:t>
      </w:r>
    </w:p>
    <w:p w:rsidR="00444ABF" w:rsidRDefault="00444ABF" w:rsidP="00444ABF">
      <w:r>
        <w:t>Ms Collingwood raised a number of matters, primarily arguing that there was a lack of strategic justification for the proposed provision of open space at 400-4</w:t>
      </w:r>
      <w:r w:rsidR="00132640">
        <w:t>3</w:t>
      </w:r>
      <w:r>
        <w:t>0 City Road.</w:t>
      </w:r>
      <w:r w:rsidR="001F6012">
        <w:t xml:space="preserve"> </w:t>
      </w:r>
      <w:r>
        <w:t xml:space="preserve"> Ms Collingwood noted the strategic location of the site, highlighting that former planning processes had identified the site as the ‘City Road Wedge’ appropriate for intensive development. </w:t>
      </w:r>
      <w:r w:rsidR="001F6012">
        <w:t xml:space="preserve"> </w:t>
      </w:r>
      <w:r>
        <w:t>The process proposed for acquiring and delivering new open space was addressed.</w:t>
      </w:r>
    </w:p>
    <w:p w:rsidR="00444ABF" w:rsidRDefault="00444ABF" w:rsidP="00444ABF">
      <w:r>
        <w:t xml:space="preserve">Ms Collingwood argued that the site is subject to setback requirements and mandatory open space provisions which will significantly restrict the site’s development potential. </w:t>
      </w:r>
      <w:r w:rsidR="001F6012">
        <w:t xml:space="preserve"> She</w:t>
      </w:r>
      <w:r>
        <w:t xml:space="preserve"> contended that transitional provisions should be applied to ensure fairness </w:t>
      </w:r>
      <w:r w:rsidR="001A5377">
        <w:t>is afforded to all landowners.</w:t>
      </w:r>
    </w:p>
    <w:p w:rsidR="00444ABF" w:rsidRDefault="00444ABF" w:rsidP="00444ABF">
      <w:pPr>
        <w:pStyle w:val="Heading2"/>
      </w:pPr>
      <w:bookmarkStart w:id="116" w:name="_Toc519577326"/>
      <w:bookmarkStart w:id="117" w:name="_Toc519849296"/>
      <w:r>
        <w:t>11 – 27, 31 – 41 Buckhurst Street (S146)</w:t>
      </w:r>
      <w:bookmarkEnd w:id="116"/>
      <w:bookmarkEnd w:id="117"/>
    </w:p>
    <w:p w:rsidR="00444ABF" w:rsidRDefault="00444ABF" w:rsidP="00444ABF">
      <w:r>
        <w:t xml:space="preserve">Tract Consultants made a written submission on behalf of Alpha 14 </w:t>
      </w:r>
      <w:r w:rsidR="001F6012">
        <w:t>Pty Ltd</w:t>
      </w:r>
      <w:r>
        <w:t>, which contended that the proposed height and FAR is too low for Montague and may result in an underdevelopment of the area.</w:t>
      </w:r>
    </w:p>
    <w:p w:rsidR="00444ABF" w:rsidRDefault="00444ABF" w:rsidP="00444ABF">
      <w:r>
        <w:t>Specifically, it sought that the proposed discretionary height of 12 storeys be increased to 18 storeys.</w:t>
      </w:r>
      <w:r w:rsidR="001F6012">
        <w:t xml:space="preserve"> </w:t>
      </w:r>
      <w:r>
        <w:t xml:space="preserve"> Further, it contended that the drafting of the FAR and FAU </w:t>
      </w:r>
      <w:r w:rsidR="001F6012">
        <w:t>wa</w:t>
      </w:r>
      <w:r>
        <w:t>s confusing and lack</w:t>
      </w:r>
      <w:r w:rsidR="001F6012">
        <w:t>ed</w:t>
      </w:r>
      <w:r>
        <w:t xml:space="preserve"> sufficient detail as to how the FAU is to be calculated.</w:t>
      </w:r>
      <w:r w:rsidR="001F6012">
        <w:t xml:space="preserve"> </w:t>
      </w:r>
      <w:r>
        <w:t xml:space="preserve"> It argued that the FAR needed clarification to note the inclusion of commerical floor space and that Clause 22.15 should be amended to read as a ‘dwelling target’ policy instead of a mandatory density cap.</w:t>
      </w:r>
    </w:p>
    <w:p w:rsidR="001F6012" w:rsidRDefault="00444ABF" w:rsidP="001F6012">
      <w:pPr>
        <w:pStyle w:val="PPVBody"/>
      </w:pPr>
      <w:r>
        <w:rPr>
          <w:noProof/>
        </w:rPr>
        <w:t xml:space="preserve">It was contended that setbacks and street walls in </w:t>
      </w:r>
      <w:r w:rsidR="001F6012">
        <w:rPr>
          <w:noProof/>
        </w:rPr>
        <w:t>DDOs</w:t>
      </w:r>
      <w:r>
        <w:rPr>
          <w:noProof/>
        </w:rPr>
        <w:t xml:space="preserve"> are conf</w:t>
      </w:r>
      <w:r w:rsidR="001F6012">
        <w:rPr>
          <w:noProof/>
        </w:rPr>
        <w:t>using and require clarification</w:t>
      </w:r>
      <w:r>
        <w:rPr>
          <w:noProof/>
        </w:rPr>
        <w:t>.</w:t>
      </w:r>
      <w:r w:rsidR="001F6012">
        <w:rPr>
          <w:noProof/>
        </w:rPr>
        <w:t xml:space="preserve">  The submission strongly opposed the application of the DPO to part of Montague, citing concerns of the need for a further planning process and the asso</w:t>
      </w:r>
      <w:r w:rsidR="001A5377">
        <w:rPr>
          <w:noProof/>
        </w:rPr>
        <w:t>ciated delay and holding costs.</w:t>
      </w:r>
    </w:p>
    <w:p w:rsidR="00444ABF" w:rsidRDefault="00444ABF" w:rsidP="00444ABF">
      <w:r>
        <w:lastRenderedPageBreak/>
        <w:t xml:space="preserve">The submission maintained that the Parking Overlay be reviewed to adopt a maximum rate of one space per dwelling to provide consistency with the provisions of other parking overlays </w:t>
      </w:r>
      <w:r w:rsidR="001F6012">
        <w:t>with</w:t>
      </w:r>
      <w:r>
        <w:t xml:space="preserve"> the City of Melbourne.</w:t>
      </w:r>
    </w:p>
    <w:p w:rsidR="00444ABF" w:rsidRDefault="00444ABF" w:rsidP="00444ABF">
      <w:pPr>
        <w:pStyle w:val="Heading2"/>
      </w:pPr>
      <w:bookmarkStart w:id="118" w:name="_Toc519577327"/>
      <w:bookmarkStart w:id="119" w:name="_Toc519849297"/>
      <w:r>
        <w:t>37 – 47 Thistle</w:t>
      </w:r>
      <w:r w:rsidR="00BE2F28">
        <w:t>th</w:t>
      </w:r>
      <w:r>
        <w:t>waite Street (S156)</w:t>
      </w:r>
      <w:bookmarkEnd w:id="118"/>
      <w:bookmarkEnd w:id="119"/>
    </w:p>
    <w:p w:rsidR="00444ABF" w:rsidRDefault="00444ABF" w:rsidP="00444ABF">
      <w:r>
        <w:t xml:space="preserve">This submitter was represented by Mr Calabro of SAC Building Workshop, who contended primarily that the proposed controls would significantly limit the development potential of the site.  Specifically Mr Calabro submitted that the height, setback controls and FAR should be discretionary to provide for appropriate flexibility.  </w:t>
      </w:r>
      <w:r w:rsidR="00BE2F28">
        <w:t>He</w:t>
      </w:r>
      <w:r>
        <w:t xml:space="preserve"> contended that the proposed height of eight storeys is not sufficiently justified.</w:t>
      </w:r>
    </w:p>
    <w:p w:rsidR="00444ABF" w:rsidRDefault="00444ABF" w:rsidP="00444ABF">
      <w:r>
        <w:t>The submission argued that public transport infrastructure has not been appropriately prioritised as a component into th</w:t>
      </w:r>
      <w:r w:rsidR="001A5377">
        <w:t>e planning for Fishermans Bend.</w:t>
      </w:r>
    </w:p>
    <w:p w:rsidR="00444ABF" w:rsidRDefault="00444ABF" w:rsidP="00444ABF">
      <w:pPr>
        <w:pStyle w:val="Heading2"/>
      </w:pPr>
      <w:bookmarkStart w:id="120" w:name="_Toc519577328"/>
      <w:bookmarkStart w:id="121" w:name="_Toc519849298"/>
      <w:r>
        <w:t>189 – 191 Ferrars Street (S164)</w:t>
      </w:r>
      <w:bookmarkEnd w:id="120"/>
      <w:bookmarkEnd w:id="121"/>
    </w:p>
    <w:p w:rsidR="00444ABF" w:rsidRPr="00513A4D" w:rsidRDefault="00444ABF" w:rsidP="00444ABF">
      <w:pPr>
        <w:pStyle w:val="PPVBody"/>
      </w:pPr>
      <w:r w:rsidRPr="00513A4D">
        <w:t xml:space="preserve">Mr De Silva of Mesh represented Marlton Investments, whose submission queried the feasibility of compliance with the proposed requirements for car parking, particularly on smaller parcels of land.  The submission </w:t>
      </w:r>
      <w:r w:rsidR="001F6012">
        <w:t xml:space="preserve">argued that the </w:t>
      </w:r>
      <w:r w:rsidRPr="00513A4D">
        <w:t xml:space="preserve">Environmental Audit Overlay requirements required more clarity regarding the conditions under which an audit will not be required. </w:t>
      </w:r>
      <w:r w:rsidR="001F6012">
        <w:t xml:space="preserve"> </w:t>
      </w:r>
      <w:r w:rsidRPr="00513A4D">
        <w:t>The submission contended that further information is required on design standards for the utilisation of the affordable housing uplift incentive and the handover process.</w:t>
      </w:r>
    </w:p>
    <w:p w:rsidR="00444ABF" w:rsidRDefault="00444ABF" w:rsidP="00444ABF">
      <w:pPr>
        <w:pStyle w:val="Heading2"/>
      </w:pPr>
      <w:bookmarkStart w:id="122" w:name="_Toc519577329"/>
      <w:bookmarkStart w:id="123" w:name="_Toc519849299"/>
      <w:r>
        <w:t>253 – 273 Normanby Road (S185)</w:t>
      </w:r>
      <w:bookmarkEnd w:id="122"/>
      <w:bookmarkEnd w:id="123"/>
    </w:p>
    <w:p w:rsidR="00444ABF" w:rsidRDefault="00444ABF" w:rsidP="00444ABF">
      <w:r>
        <w:t xml:space="preserve">SM253 </w:t>
      </w:r>
      <w:r w:rsidR="00E45E0B">
        <w:t xml:space="preserve">Pty Ltd </w:t>
      </w:r>
      <w:r>
        <w:t xml:space="preserve">was represented by Mr Finanzio </w:t>
      </w:r>
      <w:r w:rsidR="0002563A">
        <w:t>who</w:t>
      </w:r>
      <w:r>
        <w:t xml:space="preserve"> primarily noted their outstanding issues had been resolved.  </w:t>
      </w:r>
      <w:r w:rsidR="001F6012">
        <w:t>SM253</w:t>
      </w:r>
      <w:r>
        <w:t xml:space="preserve"> had a planning permit to develop </w:t>
      </w:r>
      <w:r w:rsidR="001F6012">
        <w:t>its site</w:t>
      </w:r>
      <w:r>
        <w:t xml:space="preserve"> </w:t>
      </w:r>
      <w:r w:rsidR="001F6012">
        <w:t>(</w:t>
      </w:r>
      <w:r>
        <w:t>issued in December 2017</w:t>
      </w:r>
      <w:r w:rsidR="001F6012">
        <w:t>)</w:t>
      </w:r>
      <w:r w:rsidR="00132640">
        <w:t xml:space="preserve">. </w:t>
      </w:r>
      <w:r>
        <w:t xml:space="preserve"> </w:t>
      </w:r>
      <w:r w:rsidR="001F6012">
        <w:t xml:space="preserve">The submission </w:t>
      </w:r>
      <w:r>
        <w:t>raised transitional issues.</w:t>
      </w:r>
    </w:p>
    <w:p w:rsidR="00444ABF" w:rsidRDefault="00444ABF" w:rsidP="00444ABF">
      <w:pPr>
        <w:pStyle w:val="PPVBody"/>
      </w:pPr>
      <w:r>
        <w:t>The submission outlined broad concerns with the planning controls, including that the building heights are arbitrary and do not take the context of the land into account, that mandatory controls and overshadowing requirements are unnecessarily restrictive and that car parking requirements are inadequate.  SM253 supported the provision of affordable housing but submitted that the mechanism</w:t>
      </w:r>
      <w:r w:rsidR="00BE2F28">
        <w:t xml:space="preserve"> proposed</w:t>
      </w:r>
      <w:r>
        <w:t xml:space="preserve"> is vague, unnecessarily onerous and is based on an arbitrary percentage.</w:t>
      </w:r>
    </w:p>
    <w:p w:rsidR="00444ABF" w:rsidRDefault="00444ABF" w:rsidP="00444ABF">
      <w:pPr>
        <w:pStyle w:val="Heading2"/>
      </w:pPr>
      <w:bookmarkStart w:id="124" w:name="_Toc519577330"/>
      <w:bookmarkStart w:id="125" w:name="_Toc519849300"/>
      <w:r>
        <w:t>199 – 201 Normanby Road (S186)</w:t>
      </w:r>
      <w:bookmarkEnd w:id="124"/>
      <w:bookmarkEnd w:id="125"/>
    </w:p>
    <w:p w:rsidR="00444ABF" w:rsidRDefault="00444ABF" w:rsidP="00444ABF">
      <w:r>
        <w:t>Capital Alliance Investment initially requested make a presentation at the Hearing and was allocated time, however withdrew that request during the course of the Hearing.  A planning permit for the use and development of the land of a multi-storey, mixed use building comprising residential apartments was issued on 1 September 2013, and amended on 23 February 2014</w:t>
      </w:r>
      <w:r w:rsidR="001A5377">
        <w:t>.</w:t>
      </w:r>
    </w:p>
    <w:p w:rsidR="00444ABF" w:rsidRPr="00CA7D72" w:rsidRDefault="001F6012" w:rsidP="00444ABF">
      <w:r>
        <w:t xml:space="preserve">The Review Panel </w:t>
      </w:r>
      <w:r w:rsidR="00E45E0B">
        <w:t xml:space="preserve">has already </w:t>
      </w:r>
      <w:r>
        <w:t>note</w:t>
      </w:r>
      <w:r w:rsidR="00E45E0B">
        <w:t>d</w:t>
      </w:r>
      <w:r>
        <w:t xml:space="preserve"> </w:t>
      </w:r>
      <w:r w:rsidR="00E45E0B">
        <w:t>that</w:t>
      </w:r>
      <w:r w:rsidR="00444ABF" w:rsidRPr="00CA7D72">
        <w:t xml:space="preserve"> the Minister for Planning approved an amendment to the existing planning permit to allow for the use of the land for a hotel</w:t>
      </w:r>
      <w:r>
        <w:t xml:space="preserve"> and apartments, amongst </w:t>
      </w:r>
      <w:r w:rsidR="00444ABF" w:rsidRPr="00CA7D72">
        <w:t>associated amendments to the plans</w:t>
      </w:r>
      <w:r>
        <w:t xml:space="preserve"> at a height of 30 storeys</w:t>
      </w:r>
      <w:r w:rsidR="00444ABF" w:rsidRPr="00CA7D72">
        <w:t>.</w:t>
      </w:r>
    </w:p>
    <w:p w:rsidR="00444ABF" w:rsidRDefault="00444ABF" w:rsidP="00444ABF">
      <w:pPr>
        <w:pStyle w:val="Heading2"/>
      </w:pPr>
      <w:bookmarkStart w:id="126" w:name="_Toc519577331"/>
      <w:bookmarkStart w:id="127" w:name="_Toc519849301"/>
      <w:r>
        <w:lastRenderedPageBreak/>
        <w:t>179 – 185 Normanby Road (S200)</w:t>
      </w:r>
      <w:bookmarkEnd w:id="126"/>
      <w:bookmarkEnd w:id="127"/>
    </w:p>
    <w:p w:rsidR="00444ABF" w:rsidRDefault="00444ABF" w:rsidP="00444ABF">
      <w:pPr>
        <w:pStyle w:val="PPVBody"/>
      </w:pPr>
      <w:r>
        <w:t>Normanby Group Holdings provided a written submission, prepared by Hansen Partnership. The submission advised that a live planning permit application existed for the site, which was lodged in May 2016.</w:t>
      </w:r>
    </w:p>
    <w:p w:rsidR="00444ABF" w:rsidRDefault="001F6012" w:rsidP="00444ABF">
      <w:r>
        <w:t>Specifically in relation to its</w:t>
      </w:r>
      <w:r w:rsidR="00444ABF">
        <w:t xml:space="preserve"> site, it was submitted that there </w:t>
      </w:r>
      <w:r>
        <w:t>wa</w:t>
      </w:r>
      <w:r w:rsidR="00444ABF">
        <w:t xml:space="preserve">s a discrepancy between the height control and FAR, </w:t>
      </w:r>
      <w:r>
        <w:t>that the 20 storey height limit</w:t>
      </w:r>
      <w:r w:rsidR="00444ABF">
        <w:t xml:space="preserve"> proposed for th</w:t>
      </w:r>
      <w:r>
        <w:t>e site wa</w:t>
      </w:r>
      <w:r w:rsidR="00444ABF">
        <w:t>s conservative and that the location of reserve adjacent to th</w:t>
      </w:r>
      <w:r>
        <w:t>e site wa</w:t>
      </w:r>
      <w:r w:rsidR="001A5377">
        <w:t>s inappropriate.</w:t>
      </w:r>
    </w:p>
    <w:p w:rsidR="00444ABF" w:rsidRDefault="00444ABF" w:rsidP="00444ABF">
      <w:pPr>
        <w:pStyle w:val="Heading2"/>
      </w:pPr>
      <w:bookmarkStart w:id="128" w:name="_Toc519577332"/>
      <w:bookmarkStart w:id="129" w:name="_Toc519849302"/>
      <w:r>
        <w:t>168 – 172 Gladstone Street (S201)</w:t>
      </w:r>
      <w:bookmarkEnd w:id="128"/>
      <w:bookmarkEnd w:id="129"/>
    </w:p>
    <w:p w:rsidR="00444ABF" w:rsidRDefault="00444ABF" w:rsidP="00444ABF">
      <w:r>
        <w:t xml:space="preserve">Osten Pty Ltd through its written submission, argued that the mandatory nature of the controls </w:t>
      </w:r>
      <w:r w:rsidR="001F6012">
        <w:t>were o</w:t>
      </w:r>
      <w:r>
        <w:t>nerous and not strategically justified.  The submission supported the approach taken to street wall height and side setback, however contended that the mandatory nature of the controls may limit the potential to accommodate significant growth.  Further, the controls do not allow for the varying size and sha</w:t>
      </w:r>
      <w:r w:rsidR="001A5377">
        <w:t>pe of lots in Fishermans Bend.</w:t>
      </w:r>
    </w:p>
    <w:p w:rsidR="00444ABF" w:rsidRDefault="00444ABF" w:rsidP="00444ABF">
      <w:pPr>
        <w:pStyle w:val="Heading2"/>
      </w:pPr>
      <w:bookmarkStart w:id="130" w:name="_Toc519577333"/>
      <w:bookmarkStart w:id="131" w:name="_Toc519849303"/>
      <w:r>
        <w:t>272 Normanby Road (S202)</w:t>
      </w:r>
      <w:bookmarkEnd w:id="130"/>
      <w:bookmarkEnd w:id="131"/>
    </w:p>
    <w:p w:rsidR="00444ABF" w:rsidRDefault="00444ABF" w:rsidP="00444ABF">
      <w:r>
        <w:t xml:space="preserve">The Samma Group and Spec Property </w:t>
      </w:r>
      <w:r w:rsidR="00E45E0B">
        <w:t xml:space="preserve">Development </w:t>
      </w:r>
      <w:r>
        <w:t>was represented by Mr Morris and referred to evidence called from Mr Czarny, Ms Bell and Ms Dunstan.  The Samma Group and Spec Property purchased this site in January 2018 which was subject to a live planning permit application, lodged by the previous owner of the site.  The proposed development would be prohibited under the draft Amendment as it significantly exceeds the site’s proposed FAR.</w:t>
      </w:r>
    </w:p>
    <w:p w:rsidR="00444ABF" w:rsidRDefault="00444ABF" w:rsidP="00444ABF">
      <w:r>
        <w:t>Mr Morris addressed broader issues such as the lack of justification to underpin the popoulation target and the maximum building heights derrived from such target, the lack of justification of the FAR</w:t>
      </w:r>
      <w:r w:rsidR="001F6012">
        <w:t>,</w:t>
      </w:r>
      <w:r>
        <w:t xml:space="preserve"> the inappropriate use of the FAR as a density control and the onerous nature of the car parking controls.  He submitted that the draft Amendment was premature due to the lack of funding towards key infrastructure and</w:t>
      </w:r>
      <w:r w:rsidR="001F6012">
        <w:t xml:space="preserve"> lack of identification on the M</w:t>
      </w:r>
      <w:r>
        <w:t>etro rail alignment.  Mr Morris recommended that transitional provisions be applied to protect existing permit applicants from the retrospective operation of the draft Amendment.</w:t>
      </w:r>
    </w:p>
    <w:p w:rsidR="00444ABF" w:rsidRDefault="00444ABF" w:rsidP="00444ABF">
      <w:pPr>
        <w:pStyle w:val="Heading2"/>
      </w:pPr>
      <w:bookmarkStart w:id="132" w:name="_Toc519577335"/>
      <w:bookmarkStart w:id="133" w:name="_Toc519849304"/>
      <w:r>
        <w:t>28 Thistle</w:t>
      </w:r>
      <w:r w:rsidR="00BE2F28">
        <w:t>th</w:t>
      </w:r>
      <w:r>
        <w:t>waite Street (S237)</w:t>
      </w:r>
      <w:bookmarkEnd w:id="132"/>
      <w:bookmarkEnd w:id="133"/>
    </w:p>
    <w:p w:rsidR="00444ABF" w:rsidRDefault="00444ABF" w:rsidP="00444ABF">
      <w:r>
        <w:t xml:space="preserve">Diger Nominees </w:t>
      </w:r>
      <w:r w:rsidR="00E45E0B">
        <w:t xml:space="preserve">Pty Ltd </w:t>
      </w:r>
      <w:r>
        <w:t>opposed the draft Amendment due to the proposed change of the current 18 storey mandatory height to a 12 storey discretionary height.  The submission opposed the use of the FAR and FAU.</w:t>
      </w:r>
    </w:p>
    <w:p w:rsidR="00444ABF" w:rsidRDefault="00444ABF" w:rsidP="00444ABF">
      <w:pPr>
        <w:pStyle w:val="Heading2"/>
      </w:pPr>
      <w:bookmarkStart w:id="134" w:name="_Toc519577336"/>
      <w:bookmarkStart w:id="135" w:name="_Toc519849305"/>
      <w:r>
        <w:t>121 – 123 Ferrars Street (S244),</w:t>
      </w:r>
      <w:r w:rsidRPr="00D9381C">
        <w:t xml:space="preserve"> </w:t>
      </w:r>
      <w:r>
        <w:t>111 Ferrars Street (S249)</w:t>
      </w:r>
      <w:bookmarkEnd w:id="134"/>
      <w:bookmarkEnd w:id="135"/>
      <w:r>
        <w:t xml:space="preserve"> </w:t>
      </w:r>
    </w:p>
    <w:p w:rsidR="00444ABF" w:rsidRDefault="00444ABF" w:rsidP="00444ABF">
      <w:r>
        <w:t xml:space="preserve">Mr Murphy represented Kembla </w:t>
      </w:r>
      <w:r w:rsidR="00E45E0B">
        <w:t xml:space="preserve">No 16 Pty Ltd </w:t>
      </w:r>
      <w:r>
        <w:t xml:space="preserve">(S244) and Surveyors Place </w:t>
      </w:r>
      <w:r w:rsidR="00E45E0B">
        <w:t xml:space="preserve">Owners Corporation </w:t>
      </w:r>
      <w:r>
        <w:t>(S249).  He submitted the proposed population forecasts and housing delivery w</w:t>
      </w:r>
      <w:r w:rsidR="001F6012">
        <w:t>ould</w:t>
      </w:r>
      <w:r>
        <w:t xml:space="preserve"> not contribute to the 8 million people forecast in </w:t>
      </w:r>
      <w:r w:rsidRPr="00EE012D">
        <w:rPr>
          <w:i/>
        </w:rPr>
        <w:t>Plan Melbourne</w:t>
      </w:r>
      <w:r>
        <w:t>.</w:t>
      </w:r>
    </w:p>
    <w:p w:rsidR="00444ABF" w:rsidRDefault="00444ABF" w:rsidP="00444ABF">
      <w:r>
        <w:t>He noted an inco</w:t>
      </w:r>
      <w:r w:rsidR="001F6012">
        <w:t>nsistency with how these sites we</w:t>
      </w:r>
      <w:r>
        <w:t xml:space="preserve">re designated between the draft Framework and draft Amendment, and that their sites should be nominated 'core activity' </w:t>
      </w:r>
      <w:r>
        <w:lastRenderedPageBreak/>
        <w:t>due to neighbouring sites being nominated 'core', the location of the site in relation to the Buckhurst St</w:t>
      </w:r>
      <w:r w:rsidR="0059425F">
        <w:t>reet</w:t>
      </w:r>
      <w:r>
        <w:t xml:space="preserve"> activity spine, tram corridors and strategic cycling corridor, and potential as a pedestrian thoroughfare.  He submitted that the height should be increased from a discretionary height of </w:t>
      </w:r>
      <w:r w:rsidR="001F6012">
        <w:t xml:space="preserve">eight </w:t>
      </w:r>
      <w:r>
        <w:t xml:space="preserve">storeys to 20 stroreys to </w:t>
      </w:r>
      <w:r w:rsidR="001A5377">
        <w:t>reflect the core area location.</w:t>
      </w:r>
    </w:p>
    <w:p w:rsidR="00444ABF" w:rsidRDefault="00444ABF" w:rsidP="00444ABF">
      <w:r>
        <w:t xml:space="preserve">He submitted that the FAU </w:t>
      </w:r>
      <w:r w:rsidR="001F6012">
        <w:t>wa</w:t>
      </w:r>
      <w:r>
        <w:t>s too complex and require</w:t>
      </w:r>
      <w:r w:rsidR="001F6012">
        <w:t>d</w:t>
      </w:r>
      <w:r>
        <w:t xml:space="preserve"> more clarity, and that setbacks should not be mandatory.  With regard to implementation, he submitted t</w:t>
      </w:r>
      <w:r w:rsidR="001F6012">
        <w:t>hat parties should have an oppor</w:t>
      </w:r>
      <w:r>
        <w:t>tunity to revise and provide further comment</w:t>
      </w:r>
      <w:r w:rsidR="001F6012">
        <w:t xml:space="preserve"> on the Review Panel’s findings</w:t>
      </w:r>
      <w:r w:rsidR="001A5377">
        <w:t>.</w:t>
      </w:r>
    </w:p>
    <w:p w:rsidR="00444ABF" w:rsidRPr="004429A3" w:rsidRDefault="00444ABF" w:rsidP="00444ABF">
      <w:pPr>
        <w:pStyle w:val="Heading2"/>
      </w:pPr>
      <w:bookmarkStart w:id="136" w:name="_Toc519577337"/>
      <w:bookmarkStart w:id="137" w:name="_Toc519849306"/>
      <w:r w:rsidRPr="004429A3">
        <w:t>87 Gladstone Street (S252)</w:t>
      </w:r>
      <w:bookmarkEnd w:id="136"/>
      <w:bookmarkEnd w:id="137"/>
    </w:p>
    <w:p w:rsidR="00444ABF" w:rsidRDefault="00444ABF" w:rsidP="00444ABF">
      <w:pPr>
        <w:pStyle w:val="PPVBody"/>
      </w:pPr>
      <w:r>
        <w:t>Mr Pitt represented Industry Business Hub PS607275B and outlined the nature of the site which comprises 77 primary lots and is occupied by 70 busi</w:t>
      </w:r>
      <w:r w:rsidR="001A5377">
        <w:t>nesses.</w:t>
      </w:r>
    </w:p>
    <w:p w:rsidR="00444ABF" w:rsidRDefault="00444ABF" w:rsidP="00444ABF">
      <w:pPr>
        <w:pStyle w:val="PPVBody"/>
      </w:pPr>
      <w:r>
        <w:t xml:space="preserve">Mr Pitt supported the evidence of Ms Thompson, that the draft Amendment be changed so that the proposed public open space in Gladstone Street is relocated further south opposite the proposed open space on </w:t>
      </w:r>
      <w:r w:rsidR="00E45E0B">
        <w:t>Thistlethwaite</w:t>
      </w:r>
      <w:r>
        <w:t xml:space="preserve"> Street. </w:t>
      </w:r>
      <w:r w:rsidR="004A503A">
        <w:t xml:space="preserve"> </w:t>
      </w:r>
      <w:r>
        <w:t xml:space="preserve">Mr Pitt submitted that Ms Thompson’s evidence </w:t>
      </w:r>
      <w:r w:rsidR="004A503A">
        <w:t xml:space="preserve">was </w:t>
      </w:r>
      <w:r>
        <w:t xml:space="preserve">fully justified based on a number of factors, including that the existing land use at 87 Gladstone </w:t>
      </w:r>
      <w:r w:rsidR="004A503A">
        <w:t xml:space="preserve">Street </w:t>
      </w:r>
      <w:r>
        <w:t xml:space="preserve">is strata-titled and contains a contemporary development that contributes to employment within </w:t>
      </w:r>
      <w:r w:rsidR="004A503A">
        <w:t>the P</w:t>
      </w:r>
      <w:r>
        <w:t>recinct.</w:t>
      </w:r>
    </w:p>
    <w:p w:rsidR="00444ABF" w:rsidRPr="00C342DB" w:rsidRDefault="00444ABF" w:rsidP="00444ABF">
      <w:pPr>
        <w:pStyle w:val="Heading2"/>
        <w:rPr>
          <w:noProof w:val="0"/>
        </w:rPr>
      </w:pPr>
      <w:bookmarkStart w:id="138" w:name="_Toc519849307"/>
      <w:r w:rsidRPr="00C342DB">
        <w:rPr>
          <w:noProof w:val="0"/>
        </w:rPr>
        <w:t>Conclusion</w:t>
      </w:r>
      <w:r>
        <w:rPr>
          <w:noProof w:val="0"/>
        </w:rPr>
        <w:t xml:space="preserve"> of site specific issues</w:t>
      </w:r>
      <w:bookmarkEnd w:id="138"/>
    </w:p>
    <w:p w:rsidR="00444ABF" w:rsidRDefault="00444ABF" w:rsidP="00444ABF">
      <w:pPr>
        <w:pStyle w:val="PPVBody"/>
      </w:pPr>
      <w:r>
        <w:t xml:space="preserve">The Review Panel has considered all matter raised in submissions. </w:t>
      </w:r>
      <w:r w:rsidR="004A503A">
        <w:t xml:space="preserve"> </w:t>
      </w:r>
      <w:r w:rsidRPr="00513A4D">
        <w:t xml:space="preserve">The Review Panel has </w:t>
      </w:r>
      <w:r w:rsidR="004A503A">
        <w:t>found that most of the issues raised with regard to Montague have been considered and addresses in the</w:t>
      </w:r>
      <w:r>
        <w:t xml:space="preserve"> Overview Report</w:t>
      </w:r>
      <w:r w:rsidR="004A503A">
        <w:t>, and where appropriate, resolved through the amended planning controls in Volume 2 of Report No.</w:t>
      </w:r>
      <w:r w:rsidR="00110B59">
        <w:t xml:space="preserve"> </w:t>
      </w:r>
      <w:r w:rsidR="004A503A">
        <w:t>1</w:t>
      </w:r>
      <w:r w:rsidR="00BE2F28">
        <w:t>.  General issues raised by the submitters listed have been addressed in:</w:t>
      </w:r>
    </w:p>
    <w:p w:rsidR="00444ABF" w:rsidRDefault="00444ABF" w:rsidP="00444ABF">
      <w:pPr>
        <w:pStyle w:val="PPVBullet1"/>
      </w:pPr>
      <w:r>
        <w:t>the population and employment targets in Chapter 6</w:t>
      </w:r>
    </w:p>
    <w:p w:rsidR="00444ABF" w:rsidRDefault="00444ABF" w:rsidP="00444ABF">
      <w:pPr>
        <w:pStyle w:val="PPVBullet1"/>
      </w:pPr>
      <w:r>
        <w:t>the FAR and FAU, including mandatory heights in Chapter 7</w:t>
      </w:r>
    </w:p>
    <w:p w:rsidR="00444ABF" w:rsidRDefault="00444ABF" w:rsidP="00444ABF">
      <w:pPr>
        <w:pStyle w:val="PPVBullet1"/>
      </w:pPr>
      <w:r>
        <w:t xml:space="preserve">the provision of </w:t>
      </w:r>
      <w:r w:rsidRPr="00513A4D">
        <w:t>affordable ho</w:t>
      </w:r>
      <w:r>
        <w:t>using contribution in Chapter 8</w:t>
      </w:r>
    </w:p>
    <w:p w:rsidR="00444ABF" w:rsidRDefault="00444ABF" w:rsidP="00444ABF">
      <w:pPr>
        <w:pStyle w:val="PPVBullet1"/>
      </w:pPr>
      <w:r w:rsidRPr="00513A4D">
        <w:t>car parking requ</w:t>
      </w:r>
      <w:r>
        <w:t>irements in Chapter 10.5</w:t>
      </w:r>
    </w:p>
    <w:p w:rsidR="00444ABF" w:rsidRDefault="00444ABF" w:rsidP="00444ABF">
      <w:pPr>
        <w:pStyle w:val="PPVBullet1"/>
      </w:pPr>
      <w:r>
        <w:t>funding of open space in Chapter 9.5</w:t>
      </w:r>
    </w:p>
    <w:p w:rsidR="00444ABF" w:rsidRDefault="00444ABF" w:rsidP="00444ABF">
      <w:pPr>
        <w:pStyle w:val="PPVBullet1"/>
      </w:pPr>
      <w:r>
        <w:t>transitional provisions in Chapter 15.</w:t>
      </w:r>
    </w:p>
    <w:p w:rsidR="00444ABF" w:rsidRDefault="00444ABF" w:rsidP="00444ABF">
      <w:pPr>
        <w:pStyle w:val="PPVBody"/>
      </w:pPr>
      <w:r>
        <w:t xml:space="preserve">The </w:t>
      </w:r>
      <w:r w:rsidR="00475913">
        <w:t xml:space="preserve">remaining </w:t>
      </w:r>
      <w:r>
        <w:t xml:space="preserve">matters raised in relation to the Montague </w:t>
      </w:r>
      <w:r w:rsidR="00475913">
        <w:t xml:space="preserve">Precinct, including building heights, designation of core areas, location of open space and hubs, and overshadowing </w:t>
      </w:r>
      <w:r>
        <w:t>are discussed in this report</w:t>
      </w:r>
      <w:r w:rsidR="00475913">
        <w:t>.</w:t>
      </w:r>
    </w:p>
    <w:p w:rsidR="00110178" w:rsidRDefault="00110178" w:rsidP="00110178">
      <w:pPr>
        <w:pStyle w:val="PPVBody"/>
        <w:rPr>
          <w:szCs w:val="20"/>
        </w:rPr>
      </w:pPr>
      <w:r>
        <w:t xml:space="preserve">The Review Panel noted in Chapter 17.1(ii) of the Overview Report that if its recommendations in relation to the draft Amendment are accepted, there will be a significant disjunct between the draft Framework and the draft Amendment.  Given the Review Panel recommends that the draft Framework be retained as a Reference Document, it may be appropriate to update the draft Framework to make it consistent with the Amendment.  </w:t>
      </w:r>
      <w:r w:rsidRPr="00D4049C">
        <w:rPr>
          <w:szCs w:val="20"/>
        </w:rPr>
        <w:t xml:space="preserve">The Review Panel considered whether to make changes to the </w:t>
      </w:r>
      <w:r>
        <w:rPr>
          <w:szCs w:val="20"/>
        </w:rPr>
        <w:t>d</w:t>
      </w:r>
      <w:r w:rsidRPr="00D4049C">
        <w:rPr>
          <w:szCs w:val="20"/>
        </w:rPr>
        <w:t xml:space="preserve">raft Framework and resolved that any changes should be made once the </w:t>
      </w:r>
      <w:r>
        <w:rPr>
          <w:szCs w:val="20"/>
        </w:rPr>
        <w:t>P</w:t>
      </w:r>
      <w:r w:rsidRPr="00D4049C">
        <w:rPr>
          <w:szCs w:val="20"/>
        </w:rPr>
        <w:t xml:space="preserve">recinct </w:t>
      </w:r>
      <w:r>
        <w:rPr>
          <w:szCs w:val="20"/>
        </w:rPr>
        <w:t>p</w:t>
      </w:r>
      <w:r w:rsidRPr="00D4049C">
        <w:rPr>
          <w:szCs w:val="20"/>
        </w:rPr>
        <w:t xml:space="preserve">lans are prepared and in place.  </w:t>
      </w:r>
      <w:r>
        <w:rPr>
          <w:szCs w:val="20"/>
        </w:rPr>
        <w:t xml:space="preserve">The Review Panel’s </w:t>
      </w:r>
      <w:r w:rsidRPr="00D4049C">
        <w:rPr>
          <w:szCs w:val="20"/>
        </w:rPr>
        <w:t>findings and recommendations should be taken into ac</w:t>
      </w:r>
      <w:r>
        <w:rPr>
          <w:szCs w:val="20"/>
        </w:rPr>
        <w:t>count as this matter progresses.</w:t>
      </w:r>
    </w:p>
    <w:p w:rsidR="00FD5665" w:rsidRDefault="00FD5665" w:rsidP="00FD5665">
      <w:pPr>
        <w:pStyle w:val="PPVAppendixHeading1"/>
      </w:pPr>
      <w:bookmarkStart w:id="139" w:name="_Toc519849308"/>
      <w:bookmarkEnd w:id="11"/>
      <w:bookmarkEnd w:id="12"/>
      <w:bookmarkEnd w:id="13"/>
      <w:bookmarkEnd w:id="14"/>
      <w:bookmarkEnd w:id="15"/>
      <w:r w:rsidRPr="002F0B81">
        <w:lastRenderedPageBreak/>
        <w:t xml:space="preserve">Appendix </w:t>
      </w:r>
      <w:r w:rsidR="000E1A26">
        <w:t>A</w:t>
      </w:r>
      <w:r>
        <w:tab/>
        <w:t>Document list</w:t>
      </w:r>
      <w:bookmarkEnd w:id="139"/>
    </w:p>
    <w:tbl>
      <w:tblPr>
        <w:tblpPr w:leftFromText="180" w:rightFromText="180" w:vertAnchor="text" w:tblpY="1"/>
        <w:tblOverlap w:val="never"/>
        <w:tblW w:w="9747" w:type="dxa"/>
        <w:tblBorders>
          <w:top w:val="dotted" w:sz="4" w:space="0" w:color="auto"/>
          <w:bottom w:val="single" w:sz="12" w:space="0" w:color="595959" w:themeColor="text1" w:themeTint="A6"/>
          <w:insideH w:val="dotted" w:sz="4" w:space="0" w:color="auto"/>
        </w:tblBorders>
        <w:tblLook w:val="01E0" w:firstRow="1" w:lastRow="1" w:firstColumn="1" w:lastColumn="1" w:noHBand="0" w:noVBand="0"/>
      </w:tblPr>
      <w:tblGrid>
        <w:gridCol w:w="1237"/>
        <w:gridCol w:w="1278"/>
        <w:gridCol w:w="4162"/>
        <w:gridCol w:w="3070"/>
      </w:tblGrid>
      <w:tr w:rsidR="00E508F1" w:rsidRPr="00526801" w:rsidTr="00771AB5">
        <w:trPr>
          <w:tblHeader/>
        </w:trPr>
        <w:tc>
          <w:tcPr>
            <w:tcW w:w="1237" w:type="dxa"/>
            <w:shd w:val="clear" w:color="auto" w:fill="215868" w:themeFill="accent5" w:themeFillShade="80"/>
          </w:tcPr>
          <w:p w:rsidR="00E508F1" w:rsidRPr="003E27EC" w:rsidRDefault="00E508F1" w:rsidP="00771AB5">
            <w:pPr>
              <w:pStyle w:val="PPVTableHeader"/>
              <w:rPr>
                <w:sz w:val="20"/>
                <w:szCs w:val="20"/>
              </w:rPr>
            </w:pPr>
            <w:bookmarkStart w:id="140" w:name="_Toc324252655"/>
            <w:r w:rsidRPr="003E27EC">
              <w:rPr>
                <w:sz w:val="20"/>
                <w:szCs w:val="20"/>
              </w:rPr>
              <w:t>No.</w:t>
            </w:r>
          </w:p>
        </w:tc>
        <w:tc>
          <w:tcPr>
            <w:tcW w:w="1278" w:type="dxa"/>
            <w:shd w:val="clear" w:color="auto" w:fill="215868" w:themeFill="accent5" w:themeFillShade="80"/>
          </w:tcPr>
          <w:p w:rsidR="00E508F1" w:rsidRPr="003E27EC" w:rsidRDefault="00E508F1" w:rsidP="00771AB5">
            <w:pPr>
              <w:pStyle w:val="PPVTableHeader"/>
              <w:rPr>
                <w:sz w:val="20"/>
                <w:szCs w:val="20"/>
              </w:rPr>
            </w:pPr>
            <w:r w:rsidRPr="003E27EC">
              <w:rPr>
                <w:sz w:val="20"/>
                <w:szCs w:val="20"/>
              </w:rPr>
              <w:t>Date</w:t>
            </w:r>
          </w:p>
        </w:tc>
        <w:tc>
          <w:tcPr>
            <w:tcW w:w="4162" w:type="dxa"/>
            <w:shd w:val="clear" w:color="auto" w:fill="215868" w:themeFill="accent5" w:themeFillShade="80"/>
          </w:tcPr>
          <w:p w:rsidR="00E508F1" w:rsidRPr="003E27EC" w:rsidRDefault="00E508F1" w:rsidP="00771AB5">
            <w:pPr>
              <w:pStyle w:val="PPVTableHeader"/>
              <w:rPr>
                <w:sz w:val="20"/>
                <w:szCs w:val="20"/>
              </w:rPr>
            </w:pPr>
            <w:r w:rsidRPr="003E27EC">
              <w:rPr>
                <w:sz w:val="20"/>
                <w:szCs w:val="20"/>
              </w:rPr>
              <w:t>Description</w:t>
            </w:r>
          </w:p>
        </w:tc>
        <w:tc>
          <w:tcPr>
            <w:tcW w:w="3070" w:type="dxa"/>
            <w:shd w:val="clear" w:color="auto" w:fill="215868" w:themeFill="accent5" w:themeFillShade="80"/>
          </w:tcPr>
          <w:p w:rsidR="00E508F1" w:rsidRPr="003E27EC" w:rsidRDefault="00E508F1" w:rsidP="00771AB5">
            <w:pPr>
              <w:pStyle w:val="PPVTableHeader"/>
              <w:rPr>
                <w:sz w:val="20"/>
                <w:szCs w:val="20"/>
              </w:rPr>
            </w:pPr>
            <w:r w:rsidRPr="003E27EC">
              <w:rPr>
                <w:sz w:val="20"/>
                <w:szCs w:val="20"/>
              </w:rPr>
              <w:t>Presented by</w:t>
            </w:r>
          </w:p>
        </w:tc>
      </w:tr>
      <w:tr w:rsidR="00E508F1" w:rsidRPr="00526801" w:rsidTr="00771AB5">
        <w:tc>
          <w:tcPr>
            <w:tcW w:w="1237" w:type="dxa"/>
          </w:tcPr>
          <w:p w:rsidR="00E508F1" w:rsidRPr="003E27EC" w:rsidRDefault="00E508F1" w:rsidP="00771AB5">
            <w:pPr>
              <w:pStyle w:val="PPVTableText"/>
              <w:rPr>
                <w:sz w:val="20"/>
                <w:szCs w:val="20"/>
              </w:rPr>
            </w:pPr>
            <w:r w:rsidRPr="003E27EC">
              <w:rPr>
                <w:sz w:val="20"/>
                <w:szCs w:val="20"/>
              </w:rPr>
              <w:t>M1</w:t>
            </w:r>
          </w:p>
        </w:tc>
        <w:tc>
          <w:tcPr>
            <w:tcW w:w="1278" w:type="dxa"/>
          </w:tcPr>
          <w:p w:rsidR="00E508F1" w:rsidRPr="003E27EC" w:rsidRDefault="00E508F1" w:rsidP="00771AB5">
            <w:pPr>
              <w:pStyle w:val="PPVTableText"/>
              <w:rPr>
                <w:sz w:val="20"/>
                <w:szCs w:val="20"/>
              </w:rPr>
            </w:pPr>
            <w:r w:rsidRPr="003E27EC">
              <w:rPr>
                <w:sz w:val="20"/>
                <w:szCs w:val="20"/>
              </w:rPr>
              <w:t>18/04/18</w:t>
            </w:r>
          </w:p>
        </w:tc>
        <w:tc>
          <w:tcPr>
            <w:tcW w:w="4162" w:type="dxa"/>
          </w:tcPr>
          <w:p w:rsidR="00E508F1" w:rsidRPr="003E27EC" w:rsidRDefault="00E508F1" w:rsidP="00771AB5">
            <w:pPr>
              <w:pStyle w:val="PPVTableText"/>
              <w:rPr>
                <w:sz w:val="20"/>
                <w:szCs w:val="20"/>
              </w:rPr>
            </w:pPr>
            <w:r w:rsidRPr="003E27EC">
              <w:rPr>
                <w:sz w:val="20"/>
                <w:szCs w:val="20"/>
              </w:rPr>
              <w:t>Changes to document 156B</w:t>
            </w:r>
          </w:p>
          <w:p w:rsidR="00E508F1" w:rsidRPr="003E27EC" w:rsidRDefault="00E508F1" w:rsidP="00E508F1">
            <w:pPr>
              <w:pStyle w:val="PPVTableText"/>
              <w:numPr>
                <w:ilvl w:val="0"/>
                <w:numId w:val="35"/>
              </w:numPr>
              <w:rPr>
                <w:sz w:val="20"/>
                <w:szCs w:val="20"/>
              </w:rPr>
            </w:pPr>
            <w:r w:rsidRPr="003E27EC">
              <w:rPr>
                <w:sz w:val="20"/>
                <w:szCs w:val="20"/>
              </w:rPr>
              <w:t>Mapping changes</w:t>
            </w:r>
          </w:p>
          <w:p w:rsidR="00E508F1" w:rsidRPr="003E27EC" w:rsidRDefault="00E508F1" w:rsidP="00E508F1">
            <w:pPr>
              <w:pStyle w:val="PPVTableText"/>
              <w:numPr>
                <w:ilvl w:val="0"/>
                <w:numId w:val="35"/>
              </w:numPr>
              <w:rPr>
                <w:sz w:val="20"/>
                <w:szCs w:val="20"/>
              </w:rPr>
            </w:pPr>
            <w:r w:rsidRPr="003E27EC">
              <w:rPr>
                <w:sz w:val="20"/>
                <w:szCs w:val="20"/>
              </w:rPr>
              <w:t>Explanatory table</w:t>
            </w:r>
          </w:p>
        </w:tc>
        <w:tc>
          <w:tcPr>
            <w:tcW w:w="3070" w:type="dxa"/>
          </w:tcPr>
          <w:p w:rsidR="00E508F1" w:rsidRPr="003E27EC" w:rsidRDefault="00E508F1" w:rsidP="00771AB5">
            <w:pPr>
              <w:pStyle w:val="PPVTableText"/>
              <w:rPr>
                <w:sz w:val="20"/>
                <w:szCs w:val="20"/>
              </w:rPr>
            </w:pPr>
            <w:r w:rsidRPr="003E27EC">
              <w:rPr>
                <w:sz w:val="20"/>
                <w:szCs w:val="20"/>
              </w:rPr>
              <w:t>Ms Brennan</w:t>
            </w:r>
          </w:p>
        </w:tc>
      </w:tr>
      <w:tr w:rsidR="00E508F1" w:rsidRPr="00526801" w:rsidTr="00771AB5">
        <w:tc>
          <w:tcPr>
            <w:tcW w:w="1237" w:type="dxa"/>
          </w:tcPr>
          <w:p w:rsidR="00E508F1" w:rsidRPr="003E27EC" w:rsidRDefault="00E508F1" w:rsidP="00771AB5">
            <w:pPr>
              <w:pStyle w:val="PPVTableText"/>
              <w:rPr>
                <w:sz w:val="20"/>
                <w:szCs w:val="20"/>
              </w:rPr>
            </w:pPr>
            <w:r w:rsidRPr="003E27EC">
              <w:rPr>
                <w:sz w:val="20"/>
                <w:szCs w:val="20"/>
              </w:rPr>
              <w:t>M2</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Written submission, Montague</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c>
          <w:tcPr>
            <w:tcW w:w="1237" w:type="dxa"/>
          </w:tcPr>
          <w:p w:rsidR="00E508F1" w:rsidRPr="003E27EC" w:rsidRDefault="00E508F1" w:rsidP="00771AB5">
            <w:pPr>
              <w:pStyle w:val="PPVTableText"/>
              <w:rPr>
                <w:sz w:val="20"/>
                <w:szCs w:val="20"/>
              </w:rPr>
            </w:pPr>
            <w:r w:rsidRPr="003E27EC">
              <w:rPr>
                <w:sz w:val="20"/>
                <w:szCs w:val="20"/>
              </w:rPr>
              <w:t>M3</w:t>
            </w:r>
          </w:p>
        </w:tc>
        <w:tc>
          <w:tcPr>
            <w:tcW w:w="1278" w:type="dxa"/>
          </w:tcPr>
          <w:p w:rsidR="00E508F1" w:rsidRPr="003E27EC" w:rsidRDefault="00E508F1" w:rsidP="00771AB5">
            <w:pPr>
              <w:pStyle w:val="PPVTableText"/>
              <w:rPr>
                <w:sz w:val="20"/>
                <w:szCs w:val="20"/>
              </w:rPr>
            </w:pPr>
          </w:p>
        </w:tc>
        <w:tc>
          <w:tcPr>
            <w:tcW w:w="4162" w:type="dxa"/>
          </w:tcPr>
          <w:p w:rsidR="00E508F1" w:rsidRPr="003E27EC" w:rsidRDefault="00E508F1" w:rsidP="00E508F1">
            <w:pPr>
              <w:pStyle w:val="PPVTableText"/>
              <w:numPr>
                <w:ilvl w:val="0"/>
                <w:numId w:val="34"/>
              </w:numPr>
              <w:rPr>
                <w:sz w:val="20"/>
                <w:szCs w:val="20"/>
              </w:rPr>
            </w:pPr>
            <w:r w:rsidRPr="003E27EC">
              <w:rPr>
                <w:sz w:val="20"/>
                <w:szCs w:val="20"/>
              </w:rPr>
              <w:t>Written submission</w:t>
            </w:r>
          </w:p>
          <w:p w:rsidR="00E508F1" w:rsidRPr="003E27EC" w:rsidRDefault="00E508F1" w:rsidP="00E508F1">
            <w:pPr>
              <w:pStyle w:val="PPVTableText"/>
              <w:numPr>
                <w:ilvl w:val="0"/>
                <w:numId w:val="34"/>
              </w:numPr>
              <w:rPr>
                <w:sz w:val="20"/>
                <w:szCs w:val="20"/>
              </w:rPr>
            </w:pPr>
            <w:r w:rsidRPr="003E27EC">
              <w:rPr>
                <w:sz w:val="20"/>
                <w:szCs w:val="20"/>
              </w:rPr>
              <w:t>Montague Precinct Urban Design Report</w:t>
            </w:r>
          </w:p>
          <w:p w:rsidR="00E508F1" w:rsidRPr="003E27EC" w:rsidRDefault="00E508F1" w:rsidP="00E508F1">
            <w:pPr>
              <w:pStyle w:val="PPVTableText"/>
              <w:numPr>
                <w:ilvl w:val="0"/>
                <w:numId w:val="34"/>
              </w:numPr>
              <w:rPr>
                <w:sz w:val="20"/>
                <w:szCs w:val="20"/>
              </w:rPr>
            </w:pPr>
            <w:r w:rsidRPr="003E27EC">
              <w:rPr>
                <w:sz w:val="20"/>
                <w:szCs w:val="20"/>
              </w:rPr>
              <w:t>Plans from the Urban Design Report</w:t>
            </w:r>
          </w:p>
        </w:tc>
        <w:tc>
          <w:tcPr>
            <w:tcW w:w="3070" w:type="dxa"/>
          </w:tcPr>
          <w:p w:rsidR="00E508F1" w:rsidRPr="003E27EC" w:rsidRDefault="00C9586A" w:rsidP="00771AB5">
            <w:pPr>
              <w:pStyle w:val="PPVTableText"/>
              <w:rPr>
                <w:sz w:val="20"/>
                <w:szCs w:val="20"/>
              </w:rPr>
            </w:pPr>
            <w:r w:rsidRPr="003E27EC">
              <w:rPr>
                <w:sz w:val="20"/>
                <w:szCs w:val="20"/>
              </w:rPr>
              <w:t>Mr Montebello</w:t>
            </w:r>
          </w:p>
        </w:tc>
      </w:tr>
      <w:tr w:rsidR="00E508F1" w:rsidRPr="00526801" w:rsidTr="00771AB5">
        <w:tc>
          <w:tcPr>
            <w:tcW w:w="1237" w:type="dxa"/>
          </w:tcPr>
          <w:p w:rsidR="00E508F1" w:rsidRPr="003E27EC" w:rsidRDefault="00E508F1" w:rsidP="00771AB5">
            <w:pPr>
              <w:pStyle w:val="PPVTableText"/>
              <w:rPr>
                <w:sz w:val="20"/>
                <w:szCs w:val="20"/>
              </w:rPr>
            </w:pPr>
            <w:r w:rsidRPr="003E27EC">
              <w:rPr>
                <w:sz w:val="20"/>
                <w:szCs w:val="20"/>
              </w:rPr>
              <w:t>M4</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DD</w:t>
            </w:r>
            <w:r w:rsidR="001A5377">
              <w:rPr>
                <w:sz w:val="20"/>
                <w:szCs w:val="20"/>
              </w:rPr>
              <w:t>O</w:t>
            </w:r>
            <w:r w:rsidRPr="003E27EC">
              <w:rPr>
                <w:sz w:val="20"/>
                <w:szCs w:val="20"/>
              </w:rPr>
              <w:t>8 to the Port Phillip Policy Scheme</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512"/>
        </w:trPr>
        <w:tc>
          <w:tcPr>
            <w:tcW w:w="1237" w:type="dxa"/>
          </w:tcPr>
          <w:p w:rsidR="00E508F1" w:rsidRPr="003E27EC" w:rsidRDefault="00E508F1" w:rsidP="00771AB5">
            <w:pPr>
              <w:pStyle w:val="PPVTableText"/>
              <w:rPr>
                <w:sz w:val="20"/>
                <w:szCs w:val="20"/>
              </w:rPr>
            </w:pPr>
            <w:r w:rsidRPr="003E27EC">
              <w:rPr>
                <w:sz w:val="20"/>
                <w:szCs w:val="20"/>
              </w:rPr>
              <w:t>M5</w:t>
            </w:r>
          </w:p>
        </w:tc>
        <w:tc>
          <w:tcPr>
            <w:tcW w:w="1278" w:type="dxa"/>
          </w:tcPr>
          <w:p w:rsidR="00E508F1" w:rsidRPr="003E27EC" w:rsidRDefault="00E508F1" w:rsidP="00771AB5">
            <w:pPr>
              <w:pStyle w:val="PPVTableText"/>
              <w:rPr>
                <w:sz w:val="20"/>
                <w:szCs w:val="20"/>
              </w:rPr>
            </w:pPr>
            <w:r w:rsidRPr="003E27EC">
              <w:rPr>
                <w:sz w:val="20"/>
                <w:szCs w:val="20"/>
              </w:rPr>
              <w:t>19/04/18</w:t>
            </w:r>
          </w:p>
        </w:tc>
        <w:tc>
          <w:tcPr>
            <w:tcW w:w="4162" w:type="dxa"/>
          </w:tcPr>
          <w:p w:rsidR="00E508F1" w:rsidRPr="003E27EC" w:rsidRDefault="00E508F1" w:rsidP="00771AB5">
            <w:pPr>
              <w:pStyle w:val="PPVTableText"/>
              <w:rPr>
                <w:sz w:val="20"/>
                <w:szCs w:val="20"/>
              </w:rPr>
            </w:pPr>
            <w:r w:rsidRPr="003E27EC">
              <w:rPr>
                <w:sz w:val="20"/>
                <w:szCs w:val="20"/>
              </w:rPr>
              <w:t>PowerPoint presentation, Mr Sheppard</w:t>
            </w:r>
          </w:p>
        </w:tc>
        <w:tc>
          <w:tcPr>
            <w:tcW w:w="3070" w:type="dxa"/>
          </w:tcPr>
          <w:p w:rsidR="00E508F1" w:rsidRPr="003E27EC" w:rsidRDefault="00E508F1" w:rsidP="00771AB5">
            <w:pPr>
              <w:pStyle w:val="PPVTableText"/>
              <w:rPr>
                <w:sz w:val="20"/>
                <w:szCs w:val="20"/>
              </w:rPr>
            </w:pPr>
            <w:r w:rsidRPr="003E27EC">
              <w:rPr>
                <w:sz w:val="20"/>
                <w:szCs w:val="20"/>
              </w:rPr>
              <w:t>Ms Sharp</w:t>
            </w:r>
          </w:p>
        </w:tc>
      </w:tr>
      <w:tr w:rsidR="00E508F1" w:rsidRPr="00526801" w:rsidTr="00771AB5">
        <w:trPr>
          <w:trHeight w:val="651"/>
        </w:trPr>
        <w:tc>
          <w:tcPr>
            <w:tcW w:w="1237" w:type="dxa"/>
          </w:tcPr>
          <w:p w:rsidR="00E508F1" w:rsidRPr="003E27EC" w:rsidRDefault="00E508F1" w:rsidP="00771AB5">
            <w:pPr>
              <w:pStyle w:val="PPVTableText"/>
              <w:rPr>
                <w:sz w:val="20"/>
                <w:szCs w:val="20"/>
              </w:rPr>
            </w:pPr>
            <w:r w:rsidRPr="003E27EC">
              <w:rPr>
                <w:sz w:val="20"/>
                <w:szCs w:val="20"/>
              </w:rPr>
              <w:t>M6</w:t>
            </w:r>
          </w:p>
        </w:tc>
        <w:tc>
          <w:tcPr>
            <w:tcW w:w="1278" w:type="dxa"/>
          </w:tcPr>
          <w:p w:rsidR="00E508F1" w:rsidRPr="003E27EC" w:rsidRDefault="00E508F1" w:rsidP="00771AB5">
            <w:pPr>
              <w:pStyle w:val="PPVTableText"/>
              <w:rPr>
                <w:sz w:val="20"/>
                <w:szCs w:val="20"/>
              </w:rPr>
            </w:pPr>
            <w:r w:rsidRPr="003E27EC">
              <w:rPr>
                <w:sz w:val="20"/>
                <w:szCs w:val="20"/>
              </w:rPr>
              <w:t>20/04/18</w:t>
            </w:r>
          </w:p>
        </w:tc>
        <w:tc>
          <w:tcPr>
            <w:tcW w:w="4162" w:type="dxa"/>
          </w:tcPr>
          <w:p w:rsidR="00E508F1" w:rsidRPr="003E27EC" w:rsidRDefault="00E508F1" w:rsidP="00771AB5">
            <w:pPr>
              <w:pStyle w:val="PPVTableText"/>
              <w:rPr>
                <w:sz w:val="20"/>
                <w:szCs w:val="20"/>
              </w:rPr>
            </w:pPr>
            <w:r w:rsidRPr="003E27EC">
              <w:rPr>
                <w:sz w:val="20"/>
                <w:szCs w:val="20"/>
              </w:rPr>
              <w:t>Modelling of sunlight on Normanby Road prepared by Ms Hodyl</w:t>
            </w:r>
          </w:p>
        </w:tc>
        <w:tc>
          <w:tcPr>
            <w:tcW w:w="3070" w:type="dxa"/>
          </w:tcPr>
          <w:p w:rsidR="00E508F1" w:rsidRPr="003E27EC" w:rsidRDefault="00E508F1" w:rsidP="00771AB5">
            <w:pPr>
              <w:pStyle w:val="PPVTableText"/>
              <w:rPr>
                <w:sz w:val="20"/>
                <w:szCs w:val="20"/>
              </w:rPr>
            </w:pPr>
            <w:r w:rsidRPr="003E27EC">
              <w:rPr>
                <w:sz w:val="20"/>
                <w:szCs w:val="20"/>
              </w:rPr>
              <w:t>Ms Brennan</w:t>
            </w:r>
          </w:p>
        </w:tc>
      </w:tr>
      <w:tr w:rsidR="00E508F1" w:rsidRPr="00526801" w:rsidTr="00771AB5">
        <w:trPr>
          <w:trHeight w:val="509"/>
        </w:trPr>
        <w:tc>
          <w:tcPr>
            <w:tcW w:w="1237" w:type="dxa"/>
          </w:tcPr>
          <w:p w:rsidR="00E508F1" w:rsidRPr="003E27EC" w:rsidRDefault="00E508F1" w:rsidP="00771AB5">
            <w:pPr>
              <w:pStyle w:val="PPVTableText"/>
              <w:rPr>
                <w:sz w:val="20"/>
                <w:szCs w:val="20"/>
              </w:rPr>
            </w:pPr>
            <w:r w:rsidRPr="003E27EC">
              <w:rPr>
                <w:sz w:val="20"/>
                <w:szCs w:val="20"/>
              </w:rPr>
              <w:t>M7</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Extract from Plan Melbourne</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507"/>
        </w:trPr>
        <w:tc>
          <w:tcPr>
            <w:tcW w:w="1237" w:type="dxa"/>
          </w:tcPr>
          <w:p w:rsidR="00E508F1" w:rsidRPr="003E27EC" w:rsidRDefault="00E508F1" w:rsidP="00771AB5">
            <w:pPr>
              <w:pStyle w:val="PPVTableText"/>
              <w:rPr>
                <w:sz w:val="20"/>
                <w:szCs w:val="20"/>
              </w:rPr>
            </w:pPr>
            <w:r w:rsidRPr="003E27EC">
              <w:rPr>
                <w:sz w:val="20"/>
                <w:szCs w:val="20"/>
              </w:rPr>
              <w:t>M8</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Written submission, Lie Property P/L</w:t>
            </w:r>
          </w:p>
        </w:tc>
        <w:tc>
          <w:tcPr>
            <w:tcW w:w="3070" w:type="dxa"/>
          </w:tcPr>
          <w:p w:rsidR="00E508F1" w:rsidRPr="003E27EC" w:rsidRDefault="00E508F1" w:rsidP="00771AB5">
            <w:pPr>
              <w:pStyle w:val="PPVTableText"/>
              <w:rPr>
                <w:sz w:val="20"/>
                <w:szCs w:val="20"/>
              </w:rPr>
            </w:pPr>
            <w:r w:rsidRPr="003E27EC">
              <w:rPr>
                <w:sz w:val="20"/>
                <w:szCs w:val="20"/>
              </w:rPr>
              <w:t>Mr Tweedie</w:t>
            </w:r>
          </w:p>
        </w:tc>
      </w:tr>
      <w:tr w:rsidR="00E508F1" w:rsidRPr="00526801" w:rsidTr="00771AB5">
        <w:trPr>
          <w:trHeight w:val="695"/>
        </w:trPr>
        <w:tc>
          <w:tcPr>
            <w:tcW w:w="1237" w:type="dxa"/>
          </w:tcPr>
          <w:p w:rsidR="00E508F1" w:rsidRPr="003E27EC" w:rsidRDefault="00E508F1" w:rsidP="00771AB5">
            <w:pPr>
              <w:pStyle w:val="PPVTableText"/>
              <w:rPr>
                <w:sz w:val="20"/>
                <w:szCs w:val="20"/>
              </w:rPr>
            </w:pPr>
            <w:r w:rsidRPr="003E27EC">
              <w:rPr>
                <w:sz w:val="20"/>
                <w:szCs w:val="20"/>
              </w:rPr>
              <w:t>M9</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Written submission, Normanby Road Developments</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717"/>
        </w:trPr>
        <w:tc>
          <w:tcPr>
            <w:tcW w:w="1237" w:type="dxa"/>
          </w:tcPr>
          <w:p w:rsidR="00E508F1" w:rsidRPr="003E27EC" w:rsidRDefault="00E508F1" w:rsidP="00771AB5">
            <w:pPr>
              <w:pStyle w:val="PPVTableText"/>
              <w:rPr>
                <w:sz w:val="20"/>
                <w:szCs w:val="20"/>
              </w:rPr>
            </w:pPr>
            <w:r w:rsidRPr="003E27EC">
              <w:rPr>
                <w:sz w:val="20"/>
                <w:szCs w:val="20"/>
              </w:rPr>
              <w:t>M10</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Written submission, Perpetual Normanby P/L</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540"/>
        </w:trPr>
        <w:tc>
          <w:tcPr>
            <w:tcW w:w="1237" w:type="dxa"/>
          </w:tcPr>
          <w:p w:rsidR="00E508F1" w:rsidRPr="003E27EC" w:rsidRDefault="00E508F1" w:rsidP="00771AB5">
            <w:pPr>
              <w:pStyle w:val="PPVTableText"/>
              <w:rPr>
                <w:sz w:val="20"/>
                <w:szCs w:val="20"/>
              </w:rPr>
            </w:pPr>
            <w:r w:rsidRPr="003E27EC">
              <w:rPr>
                <w:sz w:val="20"/>
                <w:szCs w:val="20"/>
              </w:rPr>
              <w:t>M11</w:t>
            </w:r>
          </w:p>
        </w:tc>
        <w:tc>
          <w:tcPr>
            <w:tcW w:w="1278" w:type="dxa"/>
          </w:tcPr>
          <w:p w:rsidR="00E508F1" w:rsidRPr="003E27EC" w:rsidRDefault="00E508F1" w:rsidP="00771AB5">
            <w:pPr>
              <w:pStyle w:val="PPVTableText"/>
              <w:rPr>
                <w:sz w:val="20"/>
                <w:szCs w:val="20"/>
              </w:rPr>
            </w:pPr>
            <w:r w:rsidRPr="003E27EC">
              <w:rPr>
                <w:sz w:val="20"/>
                <w:szCs w:val="20"/>
              </w:rPr>
              <w:t>23/04/18</w:t>
            </w:r>
          </w:p>
        </w:tc>
        <w:tc>
          <w:tcPr>
            <w:tcW w:w="4162" w:type="dxa"/>
          </w:tcPr>
          <w:p w:rsidR="00E508F1" w:rsidRPr="003E27EC" w:rsidRDefault="00C9586A" w:rsidP="00771AB5">
            <w:pPr>
              <w:pStyle w:val="PPVTableText"/>
              <w:rPr>
                <w:sz w:val="20"/>
                <w:szCs w:val="20"/>
              </w:rPr>
            </w:pPr>
            <w:r w:rsidRPr="003E27EC">
              <w:rPr>
                <w:sz w:val="20"/>
                <w:szCs w:val="20"/>
              </w:rPr>
              <w:t>PowerPoint</w:t>
            </w:r>
            <w:r w:rsidR="00E508F1" w:rsidRPr="003E27EC">
              <w:rPr>
                <w:sz w:val="20"/>
                <w:szCs w:val="20"/>
              </w:rPr>
              <w:t xml:space="preserve"> presentation, Montague – Part 2, Mr Sheppard</w:t>
            </w:r>
          </w:p>
        </w:tc>
        <w:tc>
          <w:tcPr>
            <w:tcW w:w="3070" w:type="dxa"/>
          </w:tcPr>
          <w:p w:rsidR="00E508F1" w:rsidRPr="003E27EC" w:rsidRDefault="00E508F1" w:rsidP="00771AB5">
            <w:pPr>
              <w:pStyle w:val="PPVTableText"/>
              <w:rPr>
                <w:sz w:val="20"/>
                <w:szCs w:val="20"/>
              </w:rPr>
            </w:pPr>
            <w:r w:rsidRPr="003E27EC">
              <w:rPr>
                <w:sz w:val="20"/>
                <w:szCs w:val="20"/>
              </w:rPr>
              <w:t>Mr Wren</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M12</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Connecting a new neighbourhood images – extracts from permit application for 2-28 Montague Street and 80 Munro Street</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416"/>
        </w:trPr>
        <w:tc>
          <w:tcPr>
            <w:tcW w:w="1237" w:type="dxa"/>
          </w:tcPr>
          <w:p w:rsidR="00E508F1" w:rsidRPr="003E27EC" w:rsidRDefault="00E508F1" w:rsidP="00771AB5">
            <w:pPr>
              <w:pStyle w:val="PPVTableText"/>
              <w:rPr>
                <w:sz w:val="20"/>
                <w:szCs w:val="20"/>
              </w:rPr>
            </w:pPr>
            <w:r w:rsidRPr="003E27EC">
              <w:rPr>
                <w:sz w:val="20"/>
                <w:szCs w:val="20"/>
              </w:rPr>
              <w:t>M13</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C9586A" w:rsidP="00771AB5">
            <w:pPr>
              <w:pStyle w:val="PPVTableText"/>
              <w:rPr>
                <w:sz w:val="20"/>
                <w:szCs w:val="20"/>
              </w:rPr>
            </w:pPr>
            <w:r w:rsidRPr="003E27EC">
              <w:rPr>
                <w:sz w:val="20"/>
                <w:szCs w:val="20"/>
              </w:rPr>
              <w:t xml:space="preserve">MAC report No </w:t>
            </w:r>
            <w:r w:rsidR="00E508F1" w:rsidRPr="003E27EC">
              <w:rPr>
                <w:sz w:val="20"/>
                <w:szCs w:val="20"/>
              </w:rPr>
              <w:t>1</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M14</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Montague precinct – urban growth extracts, Hodyl &amp; Co</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M15</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Endorsed plans for permit at 228 – 238 Normanby Road</w:t>
            </w:r>
          </w:p>
        </w:tc>
        <w:tc>
          <w:tcPr>
            <w:tcW w:w="3070" w:type="dxa"/>
          </w:tcPr>
          <w:p w:rsidR="00E508F1" w:rsidRPr="003E27EC" w:rsidRDefault="00E508F1" w:rsidP="00771AB5">
            <w:pPr>
              <w:pStyle w:val="PPVTableText"/>
              <w:rPr>
                <w:sz w:val="20"/>
                <w:szCs w:val="20"/>
              </w:rPr>
            </w:pPr>
            <w:r w:rsidRPr="003E27EC">
              <w:rPr>
                <w:sz w:val="20"/>
                <w:szCs w:val="20"/>
              </w:rPr>
              <w:t>Ms Choi</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M16</w:t>
            </w:r>
          </w:p>
        </w:tc>
        <w:tc>
          <w:tcPr>
            <w:tcW w:w="1278" w:type="dxa"/>
          </w:tcPr>
          <w:p w:rsidR="00E508F1" w:rsidRPr="003E27EC" w:rsidRDefault="00E508F1" w:rsidP="00771AB5">
            <w:pPr>
              <w:pStyle w:val="PPVTableText"/>
              <w:rPr>
                <w:sz w:val="20"/>
                <w:szCs w:val="20"/>
              </w:rPr>
            </w:pPr>
            <w:r w:rsidRPr="003E27EC">
              <w:rPr>
                <w:sz w:val="20"/>
                <w:szCs w:val="20"/>
              </w:rPr>
              <w:t>26/04/18</w:t>
            </w:r>
          </w:p>
        </w:tc>
        <w:tc>
          <w:tcPr>
            <w:tcW w:w="4162" w:type="dxa"/>
          </w:tcPr>
          <w:p w:rsidR="00E508F1" w:rsidRPr="003E27EC" w:rsidRDefault="00E508F1" w:rsidP="00771AB5">
            <w:pPr>
              <w:pStyle w:val="PPVTableText"/>
              <w:rPr>
                <w:sz w:val="20"/>
                <w:szCs w:val="20"/>
              </w:rPr>
            </w:pPr>
            <w:r w:rsidRPr="003E27EC">
              <w:rPr>
                <w:sz w:val="20"/>
                <w:szCs w:val="20"/>
              </w:rPr>
              <w:t>Montague building heights applications issued permits</w:t>
            </w:r>
          </w:p>
        </w:tc>
        <w:tc>
          <w:tcPr>
            <w:tcW w:w="3070" w:type="dxa"/>
          </w:tcPr>
          <w:p w:rsidR="00E508F1" w:rsidRPr="003E27EC" w:rsidRDefault="00E508F1" w:rsidP="00771AB5">
            <w:pPr>
              <w:pStyle w:val="PPVTableText"/>
              <w:rPr>
                <w:sz w:val="20"/>
                <w:szCs w:val="20"/>
              </w:rPr>
            </w:pPr>
            <w:r w:rsidRPr="003E27EC">
              <w:rPr>
                <w:sz w:val="20"/>
                <w:szCs w:val="20"/>
              </w:rPr>
              <w:t>Ms Brennan</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M17</w:t>
            </w:r>
          </w:p>
        </w:tc>
        <w:tc>
          <w:tcPr>
            <w:tcW w:w="1278" w:type="dxa"/>
          </w:tcPr>
          <w:p w:rsidR="00E508F1" w:rsidRPr="003E27EC" w:rsidRDefault="00E508F1" w:rsidP="00771AB5">
            <w:pPr>
              <w:pStyle w:val="PPVTableText"/>
              <w:rPr>
                <w:sz w:val="20"/>
                <w:szCs w:val="20"/>
              </w:rPr>
            </w:pPr>
            <w:r w:rsidRPr="003E27EC">
              <w:rPr>
                <w:sz w:val="20"/>
                <w:szCs w:val="20"/>
              </w:rPr>
              <w:t>30/04/18</w:t>
            </w:r>
          </w:p>
        </w:tc>
        <w:tc>
          <w:tcPr>
            <w:tcW w:w="4162" w:type="dxa"/>
          </w:tcPr>
          <w:p w:rsidR="00E508F1" w:rsidRPr="003E27EC" w:rsidRDefault="00E508F1" w:rsidP="00771AB5">
            <w:pPr>
              <w:pStyle w:val="PPVTableText"/>
              <w:rPr>
                <w:sz w:val="20"/>
                <w:szCs w:val="20"/>
              </w:rPr>
            </w:pPr>
            <w:r w:rsidRPr="003E27EC">
              <w:rPr>
                <w:sz w:val="20"/>
                <w:szCs w:val="20"/>
              </w:rPr>
              <w:t>Submission for Surveyors Place, including appendices</w:t>
            </w:r>
          </w:p>
        </w:tc>
        <w:tc>
          <w:tcPr>
            <w:tcW w:w="3070" w:type="dxa"/>
          </w:tcPr>
          <w:p w:rsidR="00E508F1" w:rsidRPr="003E27EC" w:rsidRDefault="00E508F1" w:rsidP="00771AB5">
            <w:pPr>
              <w:pStyle w:val="PPVTableText"/>
              <w:rPr>
                <w:sz w:val="20"/>
                <w:szCs w:val="20"/>
              </w:rPr>
            </w:pPr>
            <w:r w:rsidRPr="003E27EC">
              <w:rPr>
                <w:sz w:val="20"/>
                <w:szCs w:val="20"/>
              </w:rPr>
              <w:t>Mr Walsh</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M18</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Written submissions, Carri Nominees Pty Ltd</w:t>
            </w:r>
          </w:p>
        </w:tc>
        <w:tc>
          <w:tcPr>
            <w:tcW w:w="3070" w:type="dxa"/>
          </w:tcPr>
          <w:p w:rsidR="00E508F1" w:rsidRPr="003E27EC" w:rsidRDefault="00E508F1" w:rsidP="00771AB5">
            <w:pPr>
              <w:pStyle w:val="PPVTableText"/>
              <w:rPr>
                <w:sz w:val="20"/>
                <w:szCs w:val="20"/>
              </w:rPr>
            </w:pPr>
            <w:r w:rsidRPr="003E27EC">
              <w:rPr>
                <w:sz w:val="20"/>
                <w:szCs w:val="20"/>
              </w:rPr>
              <w:t>Ms Collingwood</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lastRenderedPageBreak/>
              <w:t>M19</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C9586A" w:rsidP="00771AB5">
            <w:pPr>
              <w:pStyle w:val="PPVTableText"/>
              <w:rPr>
                <w:sz w:val="20"/>
                <w:szCs w:val="20"/>
              </w:rPr>
            </w:pPr>
            <w:r w:rsidRPr="003E27EC">
              <w:rPr>
                <w:sz w:val="20"/>
                <w:szCs w:val="20"/>
              </w:rPr>
              <w:t>PowerPoint</w:t>
            </w:r>
            <w:r w:rsidR="00E508F1" w:rsidRPr="003E27EC">
              <w:rPr>
                <w:sz w:val="20"/>
                <w:szCs w:val="20"/>
              </w:rPr>
              <w:t xml:space="preserve"> presentation for Little Lane Child Care</w:t>
            </w:r>
          </w:p>
        </w:tc>
        <w:tc>
          <w:tcPr>
            <w:tcW w:w="3070" w:type="dxa"/>
          </w:tcPr>
          <w:p w:rsidR="00E508F1" w:rsidRPr="003E27EC" w:rsidRDefault="00E508F1" w:rsidP="00771AB5">
            <w:pPr>
              <w:pStyle w:val="PPVTableText"/>
              <w:rPr>
                <w:sz w:val="20"/>
                <w:szCs w:val="20"/>
              </w:rPr>
            </w:pPr>
            <w:r w:rsidRPr="003E27EC">
              <w:rPr>
                <w:sz w:val="20"/>
                <w:szCs w:val="20"/>
              </w:rPr>
              <w:t>Mr Pearce, Human Habitats</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M20</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C9586A" w:rsidP="00771AB5">
            <w:pPr>
              <w:pStyle w:val="PPVTableText"/>
              <w:rPr>
                <w:sz w:val="20"/>
                <w:szCs w:val="20"/>
              </w:rPr>
            </w:pPr>
            <w:r w:rsidRPr="003E27EC">
              <w:rPr>
                <w:sz w:val="20"/>
                <w:szCs w:val="20"/>
              </w:rPr>
              <w:t>PowerPoint</w:t>
            </w:r>
            <w:r w:rsidR="00E508F1" w:rsidRPr="003E27EC">
              <w:rPr>
                <w:sz w:val="20"/>
                <w:szCs w:val="20"/>
              </w:rPr>
              <w:t xml:space="preserve"> presentation for Salta Properties</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547"/>
        </w:trPr>
        <w:tc>
          <w:tcPr>
            <w:tcW w:w="1237" w:type="dxa"/>
          </w:tcPr>
          <w:p w:rsidR="00E508F1" w:rsidRPr="003E27EC" w:rsidRDefault="00E508F1" w:rsidP="00771AB5">
            <w:pPr>
              <w:pStyle w:val="PPVTableText"/>
              <w:rPr>
                <w:sz w:val="20"/>
                <w:szCs w:val="20"/>
              </w:rPr>
            </w:pPr>
            <w:r w:rsidRPr="003E27EC">
              <w:rPr>
                <w:sz w:val="20"/>
                <w:szCs w:val="20"/>
              </w:rPr>
              <w:t>M21</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Written submission from Salta Properties</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M22</w:t>
            </w:r>
          </w:p>
        </w:tc>
        <w:tc>
          <w:tcPr>
            <w:tcW w:w="1278" w:type="dxa"/>
          </w:tcPr>
          <w:p w:rsidR="00E508F1" w:rsidRPr="003E27EC" w:rsidRDefault="00E508F1" w:rsidP="00771AB5">
            <w:pPr>
              <w:pStyle w:val="PPVTableText"/>
              <w:rPr>
                <w:sz w:val="20"/>
                <w:szCs w:val="20"/>
              </w:rPr>
            </w:pPr>
            <w:r w:rsidRPr="003E27EC">
              <w:rPr>
                <w:sz w:val="20"/>
                <w:szCs w:val="20"/>
              </w:rPr>
              <w:t>1/05/18</w:t>
            </w:r>
          </w:p>
        </w:tc>
        <w:tc>
          <w:tcPr>
            <w:tcW w:w="4162" w:type="dxa"/>
          </w:tcPr>
          <w:p w:rsidR="00E508F1" w:rsidRPr="003E27EC" w:rsidRDefault="00E508F1" w:rsidP="00771AB5">
            <w:pPr>
              <w:pStyle w:val="PPVTableText"/>
              <w:rPr>
                <w:sz w:val="20"/>
                <w:szCs w:val="20"/>
              </w:rPr>
            </w:pPr>
            <w:r w:rsidRPr="003E27EC">
              <w:rPr>
                <w:sz w:val="20"/>
                <w:szCs w:val="20"/>
              </w:rPr>
              <w:t>Written submission 189 – 193 Ferrars Street</w:t>
            </w:r>
          </w:p>
        </w:tc>
        <w:tc>
          <w:tcPr>
            <w:tcW w:w="3070" w:type="dxa"/>
          </w:tcPr>
          <w:p w:rsidR="00E508F1" w:rsidRPr="003E27EC" w:rsidRDefault="00E508F1" w:rsidP="00771AB5">
            <w:pPr>
              <w:pStyle w:val="PPVTableText"/>
              <w:rPr>
                <w:sz w:val="20"/>
                <w:szCs w:val="20"/>
              </w:rPr>
            </w:pPr>
            <w:r w:rsidRPr="003E27EC">
              <w:rPr>
                <w:sz w:val="20"/>
                <w:szCs w:val="20"/>
              </w:rPr>
              <w:t>Mr de Silva, Mesh Planning</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M23</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Plan of 189 – 193 Ferrars Street</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M24</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Letter from Mesh Planning dated 7 July 2016</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739"/>
        </w:trPr>
        <w:tc>
          <w:tcPr>
            <w:tcW w:w="1237" w:type="dxa"/>
          </w:tcPr>
          <w:p w:rsidR="00E508F1" w:rsidRPr="003E27EC" w:rsidRDefault="00E508F1" w:rsidP="00771AB5">
            <w:pPr>
              <w:pStyle w:val="PPVTableText"/>
              <w:rPr>
                <w:sz w:val="20"/>
                <w:szCs w:val="20"/>
              </w:rPr>
            </w:pPr>
            <w:r w:rsidRPr="003E27EC">
              <w:rPr>
                <w:sz w:val="20"/>
                <w:szCs w:val="20"/>
              </w:rPr>
              <w:t>M25</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Written submission – Wadhawan Holdings including attachments</w:t>
            </w:r>
          </w:p>
        </w:tc>
        <w:tc>
          <w:tcPr>
            <w:tcW w:w="3070" w:type="dxa"/>
          </w:tcPr>
          <w:p w:rsidR="00E508F1" w:rsidRPr="003E27EC" w:rsidRDefault="00E508F1" w:rsidP="00771AB5">
            <w:pPr>
              <w:pStyle w:val="PPVTableText"/>
              <w:rPr>
                <w:sz w:val="20"/>
                <w:szCs w:val="20"/>
              </w:rPr>
            </w:pPr>
            <w:r w:rsidRPr="003E27EC">
              <w:rPr>
                <w:sz w:val="20"/>
                <w:szCs w:val="20"/>
              </w:rPr>
              <w:t>Ms Collingwood</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M26</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Clause 56.06 -  Car Parking</w:t>
            </w:r>
          </w:p>
        </w:tc>
        <w:tc>
          <w:tcPr>
            <w:tcW w:w="3070" w:type="dxa"/>
          </w:tcPr>
          <w:p w:rsidR="00E508F1" w:rsidRPr="003E27EC" w:rsidRDefault="00E508F1" w:rsidP="00771AB5">
            <w:pPr>
              <w:pStyle w:val="PPVTableText"/>
              <w:rPr>
                <w:sz w:val="20"/>
                <w:szCs w:val="20"/>
              </w:rPr>
            </w:pPr>
            <w:r w:rsidRPr="003E27EC">
              <w:rPr>
                <w:sz w:val="20"/>
                <w:szCs w:val="20"/>
              </w:rPr>
              <w:t>Mr Watters</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M27</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Incorporated Document for the City Road wedge</w:t>
            </w:r>
          </w:p>
        </w:tc>
        <w:tc>
          <w:tcPr>
            <w:tcW w:w="3070" w:type="dxa"/>
          </w:tcPr>
          <w:p w:rsidR="00E508F1" w:rsidRPr="003E27EC" w:rsidRDefault="00E508F1" w:rsidP="00771AB5">
            <w:pPr>
              <w:pStyle w:val="PPVTableText"/>
              <w:rPr>
                <w:sz w:val="20"/>
                <w:szCs w:val="20"/>
              </w:rPr>
            </w:pPr>
            <w:r w:rsidRPr="003E27EC">
              <w:rPr>
                <w:sz w:val="20"/>
                <w:szCs w:val="20"/>
              </w:rPr>
              <w:t>Ms Collingwood</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M28</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Extracts from plans for permit applications for 400-430 City Road</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M29</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Summary of costs for planning at 400-430 City Road – 3 tower scheme</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M30</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Summary of costs for planning at 400-430 City Road – 4 tower scheme</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M31</w:t>
            </w:r>
          </w:p>
        </w:tc>
        <w:tc>
          <w:tcPr>
            <w:tcW w:w="1278" w:type="dxa"/>
          </w:tcPr>
          <w:p w:rsidR="00E508F1" w:rsidRPr="003E27EC" w:rsidRDefault="00E508F1" w:rsidP="00771AB5">
            <w:pPr>
              <w:pStyle w:val="PPVTableText"/>
              <w:rPr>
                <w:sz w:val="20"/>
                <w:szCs w:val="20"/>
              </w:rPr>
            </w:pPr>
            <w:r w:rsidRPr="003E27EC">
              <w:rPr>
                <w:sz w:val="20"/>
                <w:szCs w:val="20"/>
              </w:rPr>
              <w:t>02/05/18</w:t>
            </w:r>
          </w:p>
        </w:tc>
        <w:tc>
          <w:tcPr>
            <w:tcW w:w="4162" w:type="dxa"/>
          </w:tcPr>
          <w:p w:rsidR="00E508F1" w:rsidRPr="003E27EC" w:rsidRDefault="00E508F1" w:rsidP="00771AB5">
            <w:pPr>
              <w:pStyle w:val="PPVTableText"/>
              <w:rPr>
                <w:sz w:val="20"/>
                <w:szCs w:val="20"/>
              </w:rPr>
            </w:pPr>
            <w:r w:rsidRPr="003E27EC">
              <w:rPr>
                <w:sz w:val="20"/>
                <w:szCs w:val="20"/>
              </w:rPr>
              <w:t xml:space="preserve">Table of Montague submitters with permits applications, recommended heights, FAR </w:t>
            </w:r>
          </w:p>
        </w:tc>
        <w:tc>
          <w:tcPr>
            <w:tcW w:w="3070" w:type="dxa"/>
          </w:tcPr>
          <w:p w:rsidR="00E508F1" w:rsidRPr="003E27EC" w:rsidRDefault="00E508F1" w:rsidP="00771AB5">
            <w:pPr>
              <w:pStyle w:val="PPVTableText"/>
              <w:rPr>
                <w:sz w:val="20"/>
                <w:szCs w:val="20"/>
              </w:rPr>
            </w:pPr>
            <w:r w:rsidRPr="003E27EC">
              <w:rPr>
                <w:sz w:val="20"/>
                <w:szCs w:val="20"/>
              </w:rPr>
              <w:t>Ms Brennan</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M32</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C9586A" w:rsidP="00771AB5">
            <w:pPr>
              <w:pStyle w:val="PPVTableText"/>
              <w:rPr>
                <w:sz w:val="20"/>
                <w:szCs w:val="20"/>
              </w:rPr>
            </w:pPr>
            <w:r w:rsidRPr="003E27EC">
              <w:rPr>
                <w:sz w:val="20"/>
                <w:szCs w:val="20"/>
              </w:rPr>
              <w:t>PowerPoint</w:t>
            </w:r>
            <w:r w:rsidR="00E508F1" w:rsidRPr="003E27EC">
              <w:rPr>
                <w:sz w:val="20"/>
                <w:szCs w:val="20"/>
              </w:rPr>
              <w:t>, Sheppard modelling for joint Properties sites</w:t>
            </w:r>
          </w:p>
        </w:tc>
        <w:tc>
          <w:tcPr>
            <w:tcW w:w="3070" w:type="dxa"/>
          </w:tcPr>
          <w:p w:rsidR="00E508F1" w:rsidRPr="003E27EC" w:rsidRDefault="00E508F1" w:rsidP="00771AB5">
            <w:pPr>
              <w:pStyle w:val="PPVTableText"/>
              <w:rPr>
                <w:sz w:val="20"/>
                <w:szCs w:val="20"/>
              </w:rPr>
            </w:pPr>
            <w:r w:rsidRPr="003E27EC">
              <w:rPr>
                <w:sz w:val="20"/>
                <w:szCs w:val="20"/>
              </w:rPr>
              <w:t>Mr Wren</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M33</w:t>
            </w:r>
          </w:p>
        </w:tc>
        <w:tc>
          <w:tcPr>
            <w:tcW w:w="1278" w:type="dxa"/>
          </w:tcPr>
          <w:p w:rsidR="00E508F1" w:rsidRPr="003E27EC" w:rsidRDefault="00E508F1" w:rsidP="00771AB5">
            <w:pPr>
              <w:pStyle w:val="PPVTableText"/>
              <w:rPr>
                <w:sz w:val="20"/>
                <w:szCs w:val="20"/>
              </w:rPr>
            </w:pPr>
            <w:r w:rsidRPr="003E27EC">
              <w:rPr>
                <w:sz w:val="20"/>
                <w:szCs w:val="20"/>
              </w:rPr>
              <w:t>04/05/18</w:t>
            </w:r>
          </w:p>
        </w:tc>
        <w:tc>
          <w:tcPr>
            <w:tcW w:w="4162" w:type="dxa"/>
          </w:tcPr>
          <w:p w:rsidR="00E508F1" w:rsidRPr="003E27EC" w:rsidRDefault="00E508F1" w:rsidP="00771AB5">
            <w:pPr>
              <w:pStyle w:val="PPVTableText"/>
              <w:rPr>
                <w:sz w:val="20"/>
                <w:szCs w:val="20"/>
              </w:rPr>
            </w:pPr>
            <w:r w:rsidRPr="003E27EC">
              <w:rPr>
                <w:sz w:val="20"/>
                <w:szCs w:val="20"/>
              </w:rPr>
              <w:t>Planning Permit PA170223, 253-273 Normanby Road</w:t>
            </w:r>
          </w:p>
        </w:tc>
        <w:tc>
          <w:tcPr>
            <w:tcW w:w="3070" w:type="dxa"/>
          </w:tcPr>
          <w:p w:rsidR="00E508F1" w:rsidRPr="003E27EC" w:rsidRDefault="00E508F1" w:rsidP="00771AB5">
            <w:pPr>
              <w:pStyle w:val="PPVTableText"/>
              <w:rPr>
                <w:sz w:val="20"/>
                <w:szCs w:val="20"/>
              </w:rPr>
            </w:pPr>
            <w:r w:rsidRPr="003E27EC">
              <w:rPr>
                <w:sz w:val="20"/>
                <w:szCs w:val="20"/>
              </w:rPr>
              <w:t xml:space="preserve">Mr Finanzio </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M34</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Perspectives, 253-773 Normanby Road</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M35</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Permit 1146/2017, 253-273 Normanby R</w:t>
            </w:r>
            <w:r w:rsidR="0059425F">
              <w:rPr>
                <w:sz w:val="20"/>
                <w:szCs w:val="20"/>
              </w:rPr>
              <w:t>oa</w:t>
            </w:r>
            <w:r w:rsidRPr="003E27EC">
              <w:rPr>
                <w:sz w:val="20"/>
                <w:szCs w:val="20"/>
              </w:rPr>
              <w:t>d</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M36</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Chronology of SM253’s permit applications</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lastRenderedPageBreak/>
              <w:t>M37</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Table of how existing permissions for 253-273 Normanby Road are affected by GC81 (Doc 156A version)</w:t>
            </w:r>
          </w:p>
        </w:tc>
        <w:tc>
          <w:tcPr>
            <w:tcW w:w="3070" w:type="dxa"/>
          </w:tcPr>
          <w:p w:rsidR="00E508F1" w:rsidRPr="003E27EC" w:rsidRDefault="00E508F1" w:rsidP="00771AB5">
            <w:pPr>
              <w:pStyle w:val="PPVTableText"/>
              <w:rPr>
                <w:sz w:val="20"/>
                <w:szCs w:val="20"/>
              </w:rPr>
            </w:pPr>
            <w:r w:rsidRPr="003E27EC">
              <w:rPr>
                <w:sz w:val="20"/>
                <w:szCs w:val="20"/>
              </w:rPr>
              <w:t>“</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M38</w:t>
            </w:r>
          </w:p>
        </w:tc>
        <w:tc>
          <w:tcPr>
            <w:tcW w:w="1278" w:type="dxa"/>
          </w:tcPr>
          <w:p w:rsidR="00E508F1" w:rsidRPr="003E27EC" w:rsidRDefault="00E508F1" w:rsidP="00771AB5">
            <w:pPr>
              <w:pStyle w:val="PPVTableText"/>
              <w:rPr>
                <w:sz w:val="20"/>
                <w:szCs w:val="20"/>
              </w:rPr>
            </w:pPr>
            <w:r w:rsidRPr="003E27EC">
              <w:rPr>
                <w:sz w:val="20"/>
                <w:szCs w:val="20"/>
              </w:rPr>
              <w:t>07/05/18</w:t>
            </w:r>
          </w:p>
        </w:tc>
        <w:tc>
          <w:tcPr>
            <w:tcW w:w="4162" w:type="dxa"/>
          </w:tcPr>
          <w:p w:rsidR="00E508F1" w:rsidRPr="003E27EC" w:rsidRDefault="00E508F1" w:rsidP="00E508F1">
            <w:pPr>
              <w:pStyle w:val="PPVTableText"/>
              <w:numPr>
                <w:ilvl w:val="0"/>
                <w:numId w:val="36"/>
              </w:numPr>
              <w:rPr>
                <w:sz w:val="20"/>
                <w:szCs w:val="20"/>
              </w:rPr>
            </w:pPr>
            <w:r w:rsidRPr="003E27EC">
              <w:rPr>
                <w:sz w:val="20"/>
                <w:szCs w:val="20"/>
              </w:rPr>
              <w:t>Written Submission for Elmarn Pty Ltd</w:t>
            </w:r>
          </w:p>
          <w:p w:rsidR="00E508F1" w:rsidRPr="003E27EC" w:rsidRDefault="00E508F1" w:rsidP="00E508F1">
            <w:pPr>
              <w:pStyle w:val="PPVTableText"/>
              <w:numPr>
                <w:ilvl w:val="0"/>
                <w:numId w:val="36"/>
              </w:numPr>
              <w:rPr>
                <w:sz w:val="20"/>
                <w:szCs w:val="20"/>
              </w:rPr>
            </w:pPr>
            <w:r w:rsidRPr="003E27EC">
              <w:rPr>
                <w:sz w:val="20"/>
                <w:szCs w:val="20"/>
              </w:rPr>
              <w:t>Attachments</w:t>
            </w:r>
          </w:p>
          <w:p w:rsidR="00E508F1" w:rsidRPr="003E27EC" w:rsidRDefault="00E508F1" w:rsidP="00E508F1">
            <w:pPr>
              <w:pStyle w:val="PPVTableText"/>
              <w:numPr>
                <w:ilvl w:val="0"/>
                <w:numId w:val="36"/>
              </w:numPr>
              <w:rPr>
                <w:sz w:val="20"/>
                <w:szCs w:val="20"/>
              </w:rPr>
            </w:pPr>
            <w:r w:rsidRPr="003E27EC">
              <w:rPr>
                <w:sz w:val="20"/>
                <w:szCs w:val="20"/>
              </w:rPr>
              <w:t>Markup of the DDO</w:t>
            </w:r>
          </w:p>
        </w:tc>
        <w:tc>
          <w:tcPr>
            <w:tcW w:w="3070" w:type="dxa"/>
          </w:tcPr>
          <w:p w:rsidR="00E508F1" w:rsidRPr="003E27EC" w:rsidRDefault="00E508F1" w:rsidP="00771AB5">
            <w:pPr>
              <w:pStyle w:val="PPVTableText"/>
              <w:rPr>
                <w:sz w:val="20"/>
                <w:szCs w:val="20"/>
              </w:rPr>
            </w:pPr>
            <w:r w:rsidRPr="003E27EC">
              <w:rPr>
                <w:sz w:val="20"/>
                <w:szCs w:val="20"/>
              </w:rPr>
              <w:t>Mr Riordon, Tract Consultants</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M39</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SM253 Pty Ltd Response to matters taken on notice</w:t>
            </w:r>
          </w:p>
        </w:tc>
        <w:tc>
          <w:tcPr>
            <w:tcW w:w="3070" w:type="dxa"/>
          </w:tcPr>
          <w:p w:rsidR="00E508F1" w:rsidRPr="003E27EC" w:rsidRDefault="00E508F1" w:rsidP="00771AB5">
            <w:pPr>
              <w:pStyle w:val="PPVTableText"/>
              <w:rPr>
                <w:sz w:val="20"/>
                <w:szCs w:val="20"/>
              </w:rPr>
            </w:pPr>
            <w:r w:rsidRPr="003E27EC">
              <w:rPr>
                <w:sz w:val="20"/>
                <w:szCs w:val="20"/>
              </w:rPr>
              <w:t>Ms Somerville, Herbert Smith Freehills</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M40</w:t>
            </w:r>
          </w:p>
        </w:tc>
        <w:tc>
          <w:tcPr>
            <w:tcW w:w="1278" w:type="dxa"/>
          </w:tcPr>
          <w:p w:rsidR="00E508F1" w:rsidRPr="003E27EC" w:rsidRDefault="00E508F1" w:rsidP="00771AB5">
            <w:pPr>
              <w:pStyle w:val="PPVTableText"/>
              <w:rPr>
                <w:sz w:val="20"/>
                <w:szCs w:val="20"/>
              </w:rPr>
            </w:pPr>
            <w:r w:rsidRPr="003E27EC">
              <w:rPr>
                <w:sz w:val="20"/>
                <w:szCs w:val="20"/>
              </w:rPr>
              <w:t>08/05/18</w:t>
            </w:r>
          </w:p>
        </w:tc>
        <w:tc>
          <w:tcPr>
            <w:tcW w:w="4162" w:type="dxa"/>
          </w:tcPr>
          <w:p w:rsidR="00E508F1" w:rsidRPr="003E27EC" w:rsidRDefault="00E508F1" w:rsidP="00771AB5">
            <w:pPr>
              <w:pStyle w:val="PPVTableText"/>
              <w:rPr>
                <w:sz w:val="20"/>
                <w:szCs w:val="20"/>
              </w:rPr>
            </w:pPr>
            <w:r w:rsidRPr="003E27EC">
              <w:rPr>
                <w:sz w:val="20"/>
                <w:szCs w:val="20"/>
              </w:rPr>
              <w:t>202N Pty Ltd Submission</w:t>
            </w:r>
          </w:p>
        </w:tc>
        <w:tc>
          <w:tcPr>
            <w:tcW w:w="3070" w:type="dxa"/>
          </w:tcPr>
          <w:p w:rsidR="00E508F1" w:rsidRPr="003E27EC" w:rsidRDefault="00E508F1" w:rsidP="00771AB5">
            <w:pPr>
              <w:pStyle w:val="PPVTableText"/>
              <w:rPr>
                <w:sz w:val="20"/>
                <w:szCs w:val="20"/>
              </w:rPr>
            </w:pPr>
            <w:r w:rsidRPr="003E27EC">
              <w:rPr>
                <w:sz w:val="20"/>
                <w:szCs w:val="20"/>
              </w:rPr>
              <w:t xml:space="preserve">Mr Gelber, HWL Ebsworth </w:t>
            </w:r>
          </w:p>
        </w:tc>
      </w:tr>
      <w:tr w:rsidR="00E508F1" w:rsidRPr="00526801" w:rsidTr="00771AB5">
        <w:trPr>
          <w:trHeight w:val="712"/>
        </w:trPr>
        <w:tc>
          <w:tcPr>
            <w:tcW w:w="1237" w:type="dxa"/>
          </w:tcPr>
          <w:p w:rsidR="00E508F1" w:rsidRPr="003E27EC" w:rsidRDefault="00E508F1" w:rsidP="00771AB5">
            <w:pPr>
              <w:pStyle w:val="PPVTableText"/>
              <w:rPr>
                <w:sz w:val="20"/>
                <w:szCs w:val="20"/>
              </w:rPr>
            </w:pPr>
            <w:r w:rsidRPr="003E27EC">
              <w:rPr>
                <w:sz w:val="20"/>
                <w:szCs w:val="20"/>
              </w:rPr>
              <w:t>M41</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Minister for Planning’s closing submissions – Montague</w:t>
            </w:r>
          </w:p>
        </w:tc>
        <w:tc>
          <w:tcPr>
            <w:tcW w:w="3070" w:type="dxa"/>
          </w:tcPr>
          <w:p w:rsidR="00E508F1" w:rsidRPr="003E27EC" w:rsidRDefault="00E508F1" w:rsidP="00771AB5">
            <w:pPr>
              <w:pStyle w:val="PPVTableText"/>
              <w:rPr>
                <w:sz w:val="20"/>
                <w:szCs w:val="20"/>
              </w:rPr>
            </w:pPr>
            <w:r w:rsidRPr="003E27EC">
              <w:rPr>
                <w:sz w:val="20"/>
                <w:szCs w:val="20"/>
              </w:rPr>
              <w:t>Ms Brennan</w:t>
            </w:r>
          </w:p>
        </w:tc>
      </w:tr>
      <w:tr w:rsidR="00E508F1" w:rsidRPr="00526801" w:rsidTr="00771AB5">
        <w:trPr>
          <w:trHeight w:val="506"/>
        </w:trPr>
        <w:tc>
          <w:tcPr>
            <w:tcW w:w="1237" w:type="dxa"/>
          </w:tcPr>
          <w:p w:rsidR="00E508F1" w:rsidRPr="003E27EC" w:rsidRDefault="00E508F1" w:rsidP="00771AB5">
            <w:pPr>
              <w:pStyle w:val="PPVTableText"/>
              <w:rPr>
                <w:sz w:val="20"/>
                <w:szCs w:val="20"/>
              </w:rPr>
            </w:pPr>
            <w:r w:rsidRPr="003E27EC">
              <w:rPr>
                <w:sz w:val="20"/>
                <w:szCs w:val="20"/>
              </w:rPr>
              <w:t>M42</w:t>
            </w:r>
          </w:p>
        </w:tc>
        <w:tc>
          <w:tcPr>
            <w:tcW w:w="1278" w:type="dxa"/>
          </w:tcPr>
          <w:p w:rsidR="00E508F1" w:rsidRPr="003E27EC" w:rsidRDefault="00E508F1" w:rsidP="00771AB5">
            <w:pPr>
              <w:pStyle w:val="PPVTableText"/>
              <w:rPr>
                <w:sz w:val="20"/>
                <w:szCs w:val="20"/>
              </w:rPr>
            </w:pPr>
            <w:r w:rsidRPr="003E27EC">
              <w:rPr>
                <w:sz w:val="20"/>
                <w:szCs w:val="20"/>
              </w:rPr>
              <w:t>“</w:t>
            </w:r>
          </w:p>
        </w:tc>
        <w:tc>
          <w:tcPr>
            <w:tcW w:w="4162" w:type="dxa"/>
          </w:tcPr>
          <w:p w:rsidR="00E508F1" w:rsidRPr="003E27EC" w:rsidRDefault="00E508F1" w:rsidP="00771AB5">
            <w:pPr>
              <w:pStyle w:val="PPVTableText"/>
              <w:rPr>
                <w:sz w:val="20"/>
                <w:szCs w:val="20"/>
              </w:rPr>
            </w:pPr>
            <w:r w:rsidRPr="003E27EC">
              <w:rPr>
                <w:sz w:val="20"/>
                <w:szCs w:val="20"/>
              </w:rPr>
              <w:t>CoPP closing submissions – Montague</w:t>
            </w:r>
          </w:p>
        </w:tc>
        <w:tc>
          <w:tcPr>
            <w:tcW w:w="3070" w:type="dxa"/>
          </w:tcPr>
          <w:p w:rsidR="00E508F1" w:rsidRPr="003E27EC" w:rsidRDefault="00E508F1" w:rsidP="00771AB5">
            <w:pPr>
              <w:pStyle w:val="PPVTableText"/>
              <w:rPr>
                <w:sz w:val="20"/>
                <w:szCs w:val="20"/>
              </w:rPr>
            </w:pPr>
            <w:r w:rsidRPr="003E27EC">
              <w:rPr>
                <w:sz w:val="20"/>
                <w:szCs w:val="20"/>
              </w:rPr>
              <w:t>Mr Montebello</w:t>
            </w:r>
          </w:p>
        </w:tc>
      </w:tr>
      <w:tr w:rsidR="003E27EC" w:rsidTr="003E27EC">
        <w:trPr>
          <w:trHeight w:val="506"/>
        </w:trPr>
        <w:tc>
          <w:tcPr>
            <w:tcW w:w="1237" w:type="dxa"/>
          </w:tcPr>
          <w:p w:rsidR="003E27EC" w:rsidRPr="003E27EC" w:rsidRDefault="003E27EC" w:rsidP="003E27EC">
            <w:pPr>
              <w:pStyle w:val="PPVTableText"/>
              <w:rPr>
                <w:sz w:val="20"/>
                <w:szCs w:val="20"/>
              </w:rPr>
            </w:pPr>
            <w:r w:rsidRPr="003E27EC">
              <w:rPr>
                <w:sz w:val="20"/>
                <w:szCs w:val="20"/>
              </w:rPr>
              <w:t>M43</w:t>
            </w:r>
          </w:p>
        </w:tc>
        <w:tc>
          <w:tcPr>
            <w:tcW w:w="1278" w:type="dxa"/>
          </w:tcPr>
          <w:p w:rsidR="003E27EC" w:rsidRPr="003E27EC" w:rsidRDefault="003E27EC" w:rsidP="003E27EC">
            <w:pPr>
              <w:pStyle w:val="PPVTableText"/>
              <w:rPr>
                <w:sz w:val="20"/>
                <w:szCs w:val="20"/>
              </w:rPr>
            </w:pPr>
            <w:r w:rsidRPr="003E27EC">
              <w:rPr>
                <w:sz w:val="20"/>
                <w:szCs w:val="20"/>
              </w:rPr>
              <w:t>15/05/18</w:t>
            </w:r>
          </w:p>
        </w:tc>
        <w:tc>
          <w:tcPr>
            <w:tcW w:w="4162" w:type="dxa"/>
          </w:tcPr>
          <w:p w:rsidR="003E27EC" w:rsidRPr="003E27EC" w:rsidRDefault="003E27EC" w:rsidP="003E27EC">
            <w:pPr>
              <w:pStyle w:val="PPVTableText"/>
              <w:rPr>
                <w:sz w:val="20"/>
                <w:szCs w:val="20"/>
              </w:rPr>
            </w:pPr>
            <w:r w:rsidRPr="003E27EC">
              <w:rPr>
                <w:sz w:val="20"/>
                <w:szCs w:val="20"/>
              </w:rPr>
              <w:t>Addenda 1 to the evidence of Ms Bell</w:t>
            </w:r>
          </w:p>
        </w:tc>
        <w:tc>
          <w:tcPr>
            <w:tcW w:w="3070" w:type="dxa"/>
          </w:tcPr>
          <w:p w:rsidR="003E27EC" w:rsidRPr="003E27EC" w:rsidRDefault="003E27EC" w:rsidP="003E27EC">
            <w:pPr>
              <w:pStyle w:val="PPVTableText"/>
              <w:rPr>
                <w:sz w:val="20"/>
                <w:szCs w:val="20"/>
              </w:rPr>
            </w:pPr>
            <w:r w:rsidRPr="003E27EC">
              <w:rPr>
                <w:sz w:val="20"/>
                <w:szCs w:val="20"/>
              </w:rPr>
              <w:t>Mr Morris</w:t>
            </w:r>
          </w:p>
        </w:tc>
      </w:tr>
      <w:tr w:rsidR="003E27EC" w:rsidTr="003E27EC">
        <w:trPr>
          <w:trHeight w:val="506"/>
        </w:trPr>
        <w:tc>
          <w:tcPr>
            <w:tcW w:w="1237" w:type="dxa"/>
          </w:tcPr>
          <w:p w:rsidR="003E27EC" w:rsidRPr="003E27EC" w:rsidRDefault="003E27EC" w:rsidP="003E27EC">
            <w:pPr>
              <w:pStyle w:val="PPVTableText"/>
              <w:rPr>
                <w:sz w:val="20"/>
                <w:szCs w:val="20"/>
              </w:rPr>
            </w:pPr>
            <w:r w:rsidRPr="003E27EC">
              <w:rPr>
                <w:sz w:val="20"/>
                <w:szCs w:val="20"/>
              </w:rPr>
              <w:t>M44</w:t>
            </w:r>
          </w:p>
        </w:tc>
        <w:tc>
          <w:tcPr>
            <w:tcW w:w="1278" w:type="dxa"/>
          </w:tcPr>
          <w:p w:rsidR="003E27EC" w:rsidRPr="003E27EC" w:rsidRDefault="003E27EC" w:rsidP="003E27EC">
            <w:pPr>
              <w:pStyle w:val="PPVTableText"/>
              <w:rPr>
                <w:sz w:val="20"/>
                <w:szCs w:val="20"/>
              </w:rPr>
            </w:pPr>
            <w:r w:rsidRPr="003E27EC">
              <w:rPr>
                <w:sz w:val="20"/>
                <w:szCs w:val="20"/>
              </w:rPr>
              <w:t>18/05/18</w:t>
            </w:r>
          </w:p>
        </w:tc>
        <w:tc>
          <w:tcPr>
            <w:tcW w:w="4162" w:type="dxa"/>
          </w:tcPr>
          <w:p w:rsidR="003E27EC" w:rsidRPr="003E27EC" w:rsidRDefault="003E27EC" w:rsidP="003E27EC">
            <w:pPr>
              <w:pStyle w:val="PPVTableText"/>
              <w:rPr>
                <w:sz w:val="20"/>
                <w:szCs w:val="20"/>
              </w:rPr>
            </w:pPr>
            <w:r w:rsidRPr="003E27EC">
              <w:rPr>
                <w:sz w:val="20"/>
                <w:szCs w:val="20"/>
              </w:rPr>
              <w:t>Written submission for Samma Group and Spec Properties</w:t>
            </w:r>
          </w:p>
        </w:tc>
        <w:tc>
          <w:tcPr>
            <w:tcW w:w="3070" w:type="dxa"/>
          </w:tcPr>
          <w:p w:rsidR="003E27EC" w:rsidRPr="003E27EC" w:rsidRDefault="003E27EC" w:rsidP="003E27EC">
            <w:pPr>
              <w:pStyle w:val="PPVTableText"/>
              <w:rPr>
                <w:sz w:val="20"/>
                <w:szCs w:val="20"/>
              </w:rPr>
            </w:pPr>
            <w:r w:rsidRPr="003E27EC">
              <w:rPr>
                <w:sz w:val="20"/>
                <w:szCs w:val="20"/>
              </w:rPr>
              <w:t>“</w:t>
            </w:r>
          </w:p>
        </w:tc>
      </w:tr>
      <w:tr w:rsidR="003E27EC" w:rsidTr="003E27EC">
        <w:trPr>
          <w:trHeight w:val="506"/>
        </w:trPr>
        <w:tc>
          <w:tcPr>
            <w:tcW w:w="1237" w:type="dxa"/>
          </w:tcPr>
          <w:p w:rsidR="003E27EC" w:rsidRPr="003E27EC" w:rsidRDefault="003E27EC" w:rsidP="003E27EC">
            <w:pPr>
              <w:pStyle w:val="PPVTableText"/>
              <w:rPr>
                <w:sz w:val="20"/>
                <w:szCs w:val="20"/>
              </w:rPr>
            </w:pPr>
            <w:r w:rsidRPr="003E27EC">
              <w:rPr>
                <w:sz w:val="20"/>
                <w:szCs w:val="20"/>
              </w:rPr>
              <w:t>M45</w:t>
            </w:r>
          </w:p>
        </w:tc>
        <w:tc>
          <w:tcPr>
            <w:tcW w:w="1278" w:type="dxa"/>
          </w:tcPr>
          <w:p w:rsidR="003E27EC" w:rsidRPr="003E27EC" w:rsidRDefault="003E27EC" w:rsidP="003E27EC">
            <w:pPr>
              <w:pStyle w:val="PPVTableText"/>
              <w:rPr>
                <w:sz w:val="20"/>
                <w:szCs w:val="20"/>
              </w:rPr>
            </w:pPr>
            <w:r w:rsidRPr="003E27EC">
              <w:rPr>
                <w:sz w:val="20"/>
                <w:szCs w:val="20"/>
              </w:rPr>
              <w:t>“</w:t>
            </w:r>
          </w:p>
        </w:tc>
        <w:tc>
          <w:tcPr>
            <w:tcW w:w="4162" w:type="dxa"/>
          </w:tcPr>
          <w:p w:rsidR="003E27EC" w:rsidRPr="003E27EC" w:rsidRDefault="003E27EC" w:rsidP="003E27EC">
            <w:pPr>
              <w:pStyle w:val="PPVTableText"/>
              <w:rPr>
                <w:sz w:val="20"/>
                <w:szCs w:val="20"/>
              </w:rPr>
            </w:pPr>
            <w:r w:rsidRPr="003E27EC">
              <w:rPr>
                <w:sz w:val="20"/>
                <w:szCs w:val="20"/>
              </w:rPr>
              <w:t>Extract from Victoria Planning Appeal decisions</w:t>
            </w:r>
          </w:p>
        </w:tc>
        <w:tc>
          <w:tcPr>
            <w:tcW w:w="3070" w:type="dxa"/>
          </w:tcPr>
          <w:p w:rsidR="003E27EC" w:rsidRPr="003E27EC" w:rsidRDefault="003E27EC" w:rsidP="003E27EC">
            <w:pPr>
              <w:pStyle w:val="PPVTableText"/>
              <w:rPr>
                <w:sz w:val="20"/>
                <w:szCs w:val="20"/>
              </w:rPr>
            </w:pPr>
            <w:r w:rsidRPr="003E27EC">
              <w:rPr>
                <w:sz w:val="20"/>
                <w:szCs w:val="20"/>
              </w:rPr>
              <w:t>“</w:t>
            </w:r>
          </w:p>
        </w:tc>
      </w:tr>
      <w:tr w:rsidR="003E27EC" w:rsidTr="003E27EC">
        <w:trPr>
          <w:trHeight w:val="506"/>
        </w:trPr>
        <w:tc>
          <w:tcPr>
            <w:tcW w:w="1237" w:type="dxa"/>
          </w:tcPr>
          <w:p w:rsidR="003E27EC" w:rsidRPr="003E27EC" w:rsidRDefault="003E27EC" w:rsidP="003E27EC">
            <w:pPr>
              <w:pStyle w:val="PPVTableText"/>
              <w:rPr>
                <w:sz w:val="20"/>
                <w:szCs w:val="20"/>
              </w:rPr>
            </w:pPr>
            <w:r w:rsidRPr="003E27EC">
              <w:rPr>
                <w:sz w:val="20"/>
                <w:szCs w:val="20"/>
              </w:rPr>
              <w:t>M46</w:t>
            </w:r>
          </w:p>
        </w:tc>
        <w:tc>
          <w:tcPr>
            <w:tcW w:w="1278" w:type="dxa"/>
          </w:tcPr>
          <w:p w:rsidR="003E27EC" w:rsidRPr="003E27EC" w:rsidRDefault="003E27EC" w:rsidP="003E27EC">
            <w:pPr>
              <w:pStyle w:val="PPVTableText"/>
              <w:rPr>
                <w:sz w:val="20"/>
                <w:szCs w:val="20"/>
              </w:rPr>
            </w:pPr>
            <w:r w:rsidRPr="003E27EC">
              <w:rPr>
                <w:sz w:val="20"/>
                <w:szCs w:val="20"/>
              </w:rPr>
              <w:t>“</w:t>
            </w:r>
          </w:p>
        </w:tc>
        <w:tc>
          <w:tcPr>
            <w:tcW w:w="4162" w:type="dxa"/>
          </w:tcPr>
          <w:p w:rsidR="003E27EC" w:rsidRPr="003E27EC" w:rsidRDefault="003E27EC" w:rsidP="003E27EC">
            <w:pPr>
              <w:pStyle w:val="PPVTableText"/>
              <w:rPr>
                <w:sz w:val="20"/>
                <w:szCs w:val="20"/>
              </w:rPr>
            </w:pPr>
            <w:r w:rsidRPr="003E27EC">
              <w:rPr>
                <w:sz w:val="20"/>
                <w:szCs w:val="20"/>
              </w:rPr>
              <w:t>Reasons for Intervention for VC136</w:t>
            </w:r>
          </w:p>
        </w:tc>
        <w:tc>
          <w:tcPr>
            <w:tcW w:w="3070" w:type="dxa"/>
          </w:tcPr>
          <w:p w:rsidR="003E27EC" w:rsidRPr="003E27EC" w:rsidRDefault="003E27EC" w:rsidP="003E27EC">
            <w:pPr>
              <w:pStyle w:val="PPVTableText"/>
              <w:rPr>
                <w:sz w:val="20"/>
                <w:szCs w:val="20"/>
              </w:rPr>
            </w:pPr>
            <w:r w:rsidRPr="003E27EC">
              <w:rPr>
                <w:sz w:val="20"/>
                <w:szCs w:val="20"/>
              </w:rPr>
              <w:t>“</w:t>
            </w:r>
          </w:p>
        </w:tc>
      </w:tr>
      <w:tr w:rsidR="003E27EC" w:rsidTr="003E27EC">
        <w:trPr>
          <w:trHeight w:val="506"/>
        </w:trPr>
        <w:tc>
          <w:tcPr>
            <w:tcW w:w="1237" w:type="dxa"/>
          </w:tcPr>
          <w:p w:rsidR="003E27EC" w:rsidRPr="003E27EC" w:rsidRDefault="003E27EC" w:rsidP="003E27EC">
            <w:pPr>
              <w:pStyle w:val="PPVTableText"/>
              <w:rPr>
                <w:sz w:val="20"/>
                <w:szCs w:val="20"/>
              </w:rPr>
            </w:pPr>
            <w:r w:rsidRPr="003E27EC">
              <w:rPr>
                <w:sz w:val="20"/>
                <w:szCs w:val="20"/>
              </w:rPr>
              <w:t>M47</w:t>
            </w:r>
          </w:p>
        </w:tc>
        <w:tc>
          <w:tcPr>
            <w:tcW w:w="1278" w:type="dxa"/>
          </w:tcPr>
          <w:p w:rsidR="003E27EC" w:rsidRPr="003E27EC" w:rsidRDefault="003E27EC" w:rsidP="003E27EC">
            <w:pPr>
              <w:pStyle w:val="PPVTableText"/>
              <w:rPr>
                <w:sz w:val="20"/>
                <w:szCs w:val="20"/>
              </w:rPr>
            </w:pPr>
            <w:r w:rsidRPr="003E27EC">
              <w:rPr>
                <w:sz w:val="20"/>
                <w:szCs w:val="20"/>
              </w:rPr>
              <w:t>“</w:t>
            </w:r>
          </w:p>
        </w:tc>
        <w:tc>
          <w:tcPr>
            <w:tcW w:w="4162" w:type="dxa"/>
          </w:tcPr>
          <w:p w:rsidR="003E27EC" w:rsidRPr="003E27EC" w:rsidRDefault="003E27EC" w:rsidP="003E27EC">
            <w:pPr>
              <w:pStyle w:val="PPVTableText"/>
              <w:rPr>
                <w:sz w:val="20"/>
                <w:szCs w:val="20"/>
              </w:rPr>
            </w:pPr>
            <w:r w:rsidRPr="003E27EC">
              <w:rPr>
                <w:sz w:val="20"/>
                <w:szCs w:val="20"/>
              </w:rPr>
              <w:t>Gazette notice for approval of VC136</w:t>
            </w:r>
          </w:p>
        </w:tc>
        <w:tc>
          <w:tcPr>
            <w:tcW w:w="3070" w:type="dxa"/>
          </w:tcPr>
          <w:p w:rsidR="003E27EC" w:rsidRPr="003E27EC" w:rsidRDefault="003E27EC" w:rsidP="003E27EC">
            <w:pPr>
              <w:pStyle w:val="PPVTableText"/>
              <w:rPr>
                <w:sz w:val="20"/>
                <w:szCs w:val="20"/>
              </w:rPr>
            </w:pPr>
            <w:r w:rsidRPr="003E27EC">
              <w:rPr>
                <w:sz w:val="20"/>
                <w:szCs w:val="20"/>
              </w:rPr>
              <w:t>“</w:t>
            </w:r>
          </w:p>
        </w:tc>
      </w:tr>
      <w:tr w:rsidR="003E27EC" w:rsidTr="003E27EC">
        <w:trPr>
          <w:trHeight w:val="506"/>
        </w:trPr>
        <w:tc>
          <w:tcPr>
            <w:tcW w:w="1237" w:type="dxa"/>
          </w:tcPr>
          <w:p w:rsidR="003E27EC" w:rsidRPr="003E27EC" w:rsidRDefault="003E27EC" w:rsidP="003E27EC">
            <w:pPr>
              <w:pStyle w:val="PPVTableText"/>
              <w:rPr>
                <w:sz w:val="20"/>
                <w:szCs w:val="20"/>
              </w:rPr>
            </w:pPr>
            <w:r w:rsidRPr="003E27EC">
              <w:rPr>
                <w:sz w:val="20"/>
                <w:szCs w:val="20"/>
              </w:rPr>
              <w:t>M48</w:t>
            </w:r>
          </w:p>
        </w:tc>
        <w:tc>
          <w:tcPr>
            <w:tcW w:w="1278" w:type="dxa"/>
          </w:tcPr>
          <w:p w:rsidR="003E27EC" w:rsidRPr="003E27EC" w:rsidRDefault="003E27EC" w:rsidP="003E27EC">
            <w:pPr>
              <w:pStyle w:val="PPVTableText"/>
              <w:rPr>
                <w:sz w:val="20"/>
                <w:szCs w:val="20"/>
              </w:rPr>
            </w:pPr>
            <w:r w:rsidRPr="003E27EC">
              <w:rPr>
                <w:sz w:val="20"/>
                <w:szCs w:val="20"/>
              </w:rPr>
              <w:t>“</w:t>
            </w:r>
          </w:p>
        </w:tc>
        <w:tc>
          <w:tcPr>
            <w:tcW w:w="4162" w:type="dxa"/>
          </w:tcPr>
          <w:p w:rsidR="003E27EC" w:rsidRPr="003E27EC" w:rsidRDefault="003E27EC" w:rsidP="003E27EC">
            <w:pPr>
              <w:pStyle w:val="PPVTableText"/>
              <w:rPr>
                <w:sz w:val="20"/>
                <w:szCs w:val="20"/>
              </w:rPr>
            </w:pPr>
            <w:r w:rsidRPr="003E27EC">
              <w:rPr>
                <w:sz w:val="20"/>
                <w:szCs w:val="20"/>
              </w:rPr>
              <w:t>PowerPoint presentation, Julia Bell</w:t>
            </w:r>
          </w:p>
        </w:tc>
        <w:tc>
          <w:tcPr>
            <w:tcW w:w="3070" w:type="dxa"/>
          </w:tcPr>
          <w:p w:rsidR="003E27EC" w:rsidRPr="003E27EC" w:rsidRDefault="003E27EC" w:rsidP="003E27EC">
            <w:pPr>
              <w:pStyle w:val="PPVTableText"/>
              <w:rPr>
                <w:sz w:val="20"/>
                <w:szCs w:val="20"/>
              </w:rPr>
            </w:pPr>
            <w:r w:rsidRPr="003E27EC">
              <w:rPr>
                <w:sz w:val="20"/>
                <w:szCs w:val="20"/>
              </w:rPr>
              <w:t>Ms Porter</w:t>
            </w:r>
          </w:p>
        </w:tc>
      </w:tr>
      <w:tr w:rsidR="003E27EC" w:rsidTr="003E27EC">
        <w:trPr>
          <w:trHeight w:val="506"/>
        </w:trPr>
        <w:tc>
          <w:tcPr>
            <w:tcW w:w="1237" w:type="dxa"/>
          </w:tcPr>
          <w:p w:rsidR="003E27EC" w:rsidRPr="003E27EC" w:rsidRDefault="003E27EC" w:rsidP="003E27EC">
            <w:pPr>
              <w:pStyle w:val="PPVTableText"/>
              <w:rPr>
                <w:sz w:val="20"/>
                <w:szCs w:val="20"/>
              </w:rPr>
            </w:pPr>
            <w:r w:rsidRPr="003E27EC">
              <w:rPr>
                <w:sz w:val="20"/>
                <w:szCs w:val="20"/>
              </w:rPr>
              <w:t>M49</w:t>
            </w:r>
          </w:p>
        </w:tc>
        <w:tc>
          <w:tcPr>
            <w:tcW w:w="1278" w:type="dxa"/>
          </w:tcPr>
          <w:p w:rsidR="003E27EC" w:rsidRPr="003E27EC" w:rsidRDefault="003E27EC" w:rsidP="003E27EC">
            <w:pPr>
              <w:pStyle w:val="PPVTableText"/>
              <w:rPr>
                <w:sz w:val="20"/>
                <w:szCs w:val="20"/>
              </w:rPr>
            </w:pPr>
            <w:r w:rsidRPr="003E27EC">
              <w:rPr>
                <w:sz w:val="20"/>
                <w:szCs w:val="20"/>
              </w:rPr>
              <w:t>“</w:t>
            </w:r>
          </w:p>
        </w:tc>
        <w:tc>
          <w:tcPr>
            <w:tcW w:w="4162" w:type="dxa"/>
          </w:tcPr>
          <w:p w:rsidR="003E27EC" w:rsidRPr="003E27EC" w:rsidRDefault="003E27EC" w:rsidP="003E27EC">
            <w:pPr>
              <w:pStyle w:val="PPVTableText"/>
              <w:rPr>
                <w:sz w:val="20"/>
                <w:szCs w:val="20"/>
              </w:rPr>
            </w:pPr>
            <w:r w:rsidRPr="003E27EC">
              <w:rPr>
                <w:sz w:val="20"/>
                <w:szCs w:val="20"/>
              </w:rPr>
              <w:t>Extract from Plan Melbourne Implementation Plan</w:t>
            </w:r>
          </w:p>
          <w:p w:rsidR="003E27EC" w:rsidRPr="003E27EC" w:rsidRDefault="003E27EC" w:rsidP="001A5377">
            <w:pPr>
              <w:pStyle w:val="PPVTableText"/>
              <w:numPr>
                <w:ilvl w:val="4"/>
                <w:numId w:val="7"/>
              </w:numPr>
              <w:ind w:left="324" w:hanging="283"/>
              <w:rPr>
                <w:sz w:val="20"/>
                <w:szCs w:val="20"/>
              </w:rPr>
            </w:pPr>
            <w:r w:rsidRPr="003E27EC">
              <w:rPr>
                <w:sz w:val="20"/>
                <w:szCs w:val="20"/>
              </w:rPr>
              <w:t>Overshadowing review for 272-280 Normanby Road</w:t>
            </w:r>
          </w:p>
        </w:tc>
        <w:tc>
          <w:tcPr>
            <w:tcW w:w="3070" w:type="dxa"/>
          </w:tcPr>
          <w:p w:rsidR="003E27EC" w:rsidRPr="003E27EC" w:rsidRDefault="003E27EC" w:rsidP="003E27EC">
            <w:pPr>
              <w:pStyle w:val="PPVTableText"/>
              <w:rPr>
                <w:sz w:val="20"/>
                <w:szCs w:val="20"/>
              </w:rPr>
            </w:pPr>
            <w:r w:rsidRPr="003E27EC">
              <w:rPr>
                <w:sz w:val="20"/>
                <w:szCs w:val="20"/>
              </w:rPr>
              <w:t>Ms Brennan</w:t>
            </w:r>
          </w:p>
        </w:tc>
      </w:tr>
      <w:tr w:rsidR="003E27EC" w:rsidTr="003E27EC">
        <w:trPr>
          <w:trHeight w:val="506"/>
        </w:trPr>
        <w:tc>
          <w:tcPr>
            <w:tcW w:w="1237" w:type="dxa"/>
          </w:tcPr>
          <w:p w:rsidR="003E27EC" w:rsidRPr="003E27EC" w:rsidRDefault="003E27EC" w:rsidP="003E27EC">
            <w:pPr>
              <w:pStyle w:val="PPVTableText"/>
              <w:rPr>
                <w:sz w:val="20"/>
                <w:szCs w:val="20"/>
              </w:rPr>
            </w:pPr>
            <w:r w:rsidRPr="003E27EC">
              <w:rPr>
                <w:sz w:val="20"/>
                <w:szCs w:val="20"/>
              </w:rPr>
              <w:t>M50</w:t>
            </w:r>
          </w:p>
        </w:tc>
        <w:tc>
          <w:tcPr>
            <w:tcW w:w="1278" w:type="dxa"/>
          </w:tcPr>
          <w:p w:rsidR="003E27EC" w:rsidRPr="003E27EC" w:rsidRDefault="003E27EC" w:rsidP="003E27EC">
            <w:pPr>
              <w:pStyle w:val="PPVTableText"/>
              <w:rPr>
                <w:sz w:val="20"/>
                <w:szCs w:val="20"/>
              </w:rPr>
            </w:pPr>
            <w:r w:rsidRPr="003E27EC">
              <w:rPr>
                <w:sz w:val="20"/>
                <w:szCs w:val="20"/>
              </w:rPr>
              <w:t>21/05/18</w:t>
            </w:r>
          </w:p>
        </w:tc>
        <w:tc>
          <w:tcPr>
            <w:tcW w:w="4162" w:type="dxa"/>
          </w:tcPr>
          <w:p w:rsidR="003E27EC" w:rsidRPr="003E27EC" w:rsidRDefault="003E27EC" w:rsidP="003E27EC">
            <w:pPr>
              <w:pStyle w:val="PPVTableText"/>
              <w:rPr>
                <w:sz w:val="20"/>
                <w:szCs w:val="20"/>
              </w:rPr>
            </w:pPr>
            <w:r w:rsidRPr="003E27EC">
              <w:rPr>
                <w:sz w:val="20"/>
                <w:szCs w:val="20"/>
              </w:rPr>
              <w:t>Written submission for Industry Business Hub</w:t>
            </w:r>
          </w:p>
        </w:tc>
        <w:tc>
          <w:tcPr>
            <w:tcW w:w="3070" w:type="dxa"/>
          </w:tcPr>
          <w:p w:rsidR="003E27EC" w:rsidRPr="003E27EC" w:rsidRDefault="003E27EC" w:rsidP="003E27EC">
            <w:pPr>
              <w:pStyle w:val="PPVTableText"/>
              <w:rPr>
                <w:sz w:val="20"/>
                <w:szCs w:val="20"/>
              </w:rPr>
            </w:pPr>
            <w:r w:rsidRPr="003E27EC">
              <w:rPr>
                <w:sz w:val="20"/>
                <w:szCs w:val="20"/>
              </w:rPr>
              <w:t>Mr Pitt</w:t>
            </w:r>
          </w:p>
        </w:tc>
      </w:tr>
      <w:tr w:rsidR="003E27EC" w:rsidTr="003E27EC">
        <w:trPr>
          <w:trHeight w:val="506"/>
        </w:trPr>
        <w:tc>
          <w:tcPr>
            <w:tcW w:w="1237" w:type="dxa"/>
          </w:tcPr>
          <w:p w:rsidR="003E27EC" w:rsidRPr="003E27EC" w:rsidRDefault="003E27EC" w:rsidP="003E27EC">
            <w:pPr>
              <w:pStyle w:val="PPVTableText"/>
              <w:rPr>
                <w:sz w:val="20"/>
                <w:szCs w:val="20"/>
              </w:rPr>
            </w:pPr>
            <w:r w:rsidRPr="003E27EC">
              <w:rPr>
                <w:sz w:val="20"/>
                <w:szCs w:val="20"/>
              </w:rPr>
              <w:t>M51</w:t>
            </w:r>
          </w:p>
        </w:tc>
        <w:tc>
          <w:tcPr>
            <w:tcW w:w="1278" w:type="dxa"/>
          </w:tcPr>
          <w:p w:rsidR="003E27EC" w:rsidRPr="003E27EC" w:rsidRDefault="003E27EC" w:rsidP="003E27EC">
            <w:pPr>
              <w:pStyle w:val="PPVTableText"/>
              <w:rPr>
                <w:sz w:val="20"/>
                <w:szCs w:val="20"/>
              </w:rPr>
            </w:pPr>
            <w:r w:rsidRPr="003E27EC">
              <w:rPr>
                <w:sz w:val="20"/>
                <w:szCs w:val="20"/>
              </w:rPr>
              <w:t>“</w:t>
            </w:r>
          </w:p>
        </w:tc>
        <w:tc>
          <w:tcPr>
            <w:tcW w:w="4162" w:type="dxa"/>
          </w:tcPr>
          <w:p w:rsidR="003E27EC" w:rsidRPr="003E27EC" w:rsidRDefault="003E27EC" w:rsidP="003E27EC">
            <w:pPr>
              <w:pStyle w:val="PPVTableText"/>
              <w:rPr>
                <w:sz w:val="20"/>
                <w:szCs w:val="20"/>
              </w:rPr>
            </w:pPr>
            <w:r w:rsidRPr="003E27EC">
              <w:rPr>
                <w:sz w:val="20"/>
                <w:szCs w:val="20"/>
              </w:rPr>
              <w:t>Letter from Industry Business Hub to Fishermans Bend Taskforce dated 5/2/18</w:t>
            </w:r>
          </w:p>
        </w:tc>
        <w:tc>
          <w:tcPr>
            <w:tcW w:w="3070" w:type="dxa"/>
          </w:tcPr>
          <w:p w:rsidR="003E27EC" w:rsidRPr="003E27EC" w:rsidRDefault="003E27EC" w:rsidP="003E27EC">
            <w:pPr>
              <w:pStyle w:val="PPVTableText"/>
              <w:rPr>
                <w:sz w:val="20"/>
                <w:szCs w:val="20"/>
              </w:rPr>
            </w:pPr>
            <w:r w:rsidRPr="003E27EC">
              <w:rPr>
                <w:sz w:val="20"/>
                <w:szCs w:val="20"/>
              </w:rPr>
              <w:t>“</w:t>
            </w:r>
          </w:p>
        </w:tc>
      </w:tr>
      <w:tr w:rsidR="003E27EC" w:rsidTr="003E27EC">
        <w:trPr>
          <w:trHeight w:val="506"/>
        </w:trPr>
        <w:tc>
          <w:tcPr>
            <w:tcW w:w="1237" w:type="dxa"/>
          </w:tcPr>
          <w:p w:rsidR="003E27EC" w:rsidRPr="003E27EC" w:rsidRDefault="003E27EC" w:rsidP="003E27EC">
            <w:pPr>
              <w:pStyle w:val="PPVTableText"/>
              <w:rPr>
                <w:sz w:val="20"/>
                <w:szCs w:val="20"/>
              </w:rPr>
            </w:pPr>
            <w:r w:rsidRPr="003E27EC">
              <w:rPr>
                <w:sz w:val="20"/>
                <w:szCs w:val="20"/>
              </w:rPr>
              <w:t>M52</w:t>
            </w:r>
          </w:p>
        </w:tc>
        <w:tc>
          <w:tcPr>
            <w:tcW w:w="1278" w:type="dxa"/>
          </w:tcPr>
          <w:p w:rsidR="003E27EC" w:rsidRPr="003E27EC" w:rsidRDefault="003E27EC" w:rsidP="003E27EC">
            <w:pPr>
              <w:pStyle w:val="PPVTableText"/>
              <w:rPr>
                <w:sz w:val="20"/>
                <w:szCs w:val="20"/>
              </w:rPr>
            </w:pPr>
            <w:r w:rsidRPr="003E27EC">
              <w:rPr>
                <w:sz w:val="20"/>
                <w:szCs w:val="20"/>
              </w:rPr>
              <w:t>“</w:t>
            </w:r>
          </w:p>
        </w:tc>
        <w:tc>
          <w:tcPr>
            <w:tcW w:w="4162" w:type="dxa"/>
          </w:tcPr>
          <w:p w:rsidR="003E27EC" w:rsidRPr="003E27EC" w:rsidRDefault="003E27EC" w:rsidP="003E27EC">
            <w:pPr>
              <w:pStyle w:val="PPVTableText"/>
              <w:rPr>
                <w:sz w:val="20"/>
                <w:szCs w:val="20"/>
              </w:rPr>
            </w:pPr>
            <w:r w:rsidRPr="003E27EC">
              <w:rPr>
                <w:sz w:val="20"/>
                <w:szCs w:val="20"/>
              </w:rPr>
              <w:t>Extract from Fitzwood Pty Ltd v Whittlesea Shire Council</w:t>
            </w:r>
          </w:p>
        </w:tc>
        <w:tc>
          <w:tcPr>
            <w:tcW w:w="3070" w:type="dxa"/>
          </w:tcPr>
          <w:p w:rsidR="003E27EC" w:rsidRPr="003E27EC" w:rsidRDefault="003E27EC" w:rsidP="003E27EC">
            <w:pPr>
              <w:pStyle w:val="PPVTableText"/>
              <w:rPr>
                <w:sz w:val="20"/>
                <w:szCs w:val="20"/>
              </w:rPr>
            </w:pPr>
            <w:r w:rsidRPr="003E27EC">
              <w:rPr>
                <w:sz w:val="20"/>
                <w:szCs w:val="20"/>
              </w:rPr>
              <w:t>“</w:t>
            </w:r>
          </w:p>
        </w:tc>
      </w:tr>
      <w:tr w:rsidR="003E27EC" w:rsidTr="003E27EC">
        <w:trPr>
          <w:trHeight w:val="506"/>
        </w:trPr>
        <w:tc>
          <w:tcPr>
            <w:tcW w:w="1237" w:type="dxa"/>
          </w:tcPr>
          <w:p w:rsidR="003E27EC" w:rsidRPr="003E27EC" w:rsidRDefault="003E27EC" w:rsidP="003E27EC">
            <w:pPr>
              <w:pStyle w:val="PPVTableText"/>
              <w:rPr>
                <w:sz w:val="20"/>
                <w:szCs w:val="20"/>
              </w:rPr>
            </w:pPr>
            <w:r w:rsidRPr="003E27EC">
              <w:rPr>
                <w:sz w:val="20"/>
                <w:szCs w:val="20"/>
              </w:rPr>
              <w:t>M53</w:t>
            </w:r>
          </w:p>
        </w:tc>
        <w:tc>
          <w:tcPr>
            <w:tcW w:w="1278" w:type="dxa"/>
          </w:tcPr>
          <w:p w:rsidR="003E27EC" w:rsidRPr="003E27EC" w:rsidRDefault="003E27EC" w:rsidP="003E27EC">
            <w:pPr>
              <w:pStyle w:val="PPVTableText"/>
              <w:rPr>
                <w:sz w:val="20"/>
                <w:szCs w:val="20"/>
              </w:rPr>
            </w:pPr>
            <w:r w:rsidRPr="003E27EC">
              <w:rPr>
                <w:sz w:val="20"/>
                <w:szCs w:val="20"/>
              </w:rPr>
              <w:t>“</w:t>
            </w:r>
          </w:p>
        </w:tc>
        <w:tc>
          <w:tcPr>
            <w:tcW w:w="4162" w:type="dxa"/>
          </w:tcPr>
          <w:p w:rsidR="003E27EC" w:rsidRPr="003E27EC" w:rsidRDefault="003E27EC" w:rsidP="003E27EC">
            <w:pPr>
              <w:pStyle w:val="PPVTableText"/>
              <w:rPr>
                <w:sz w:val="20"/>
                <w:szCs w:val="20"/>
              </w:rPr>
            </w:pPr>
            <w:r w:rsidRPr="003E27EC">
              <w:rPr>
                <w:sz w:val="20"/>
                <w:szCs w:val="20"/>
              </w:rPr>
              <w:t>Extract from Eddie Barron Construction Pty Ltd v Pakenham City Council</w:t>
            </w:r>
          </w:p>
        </w:tc>
        <w:tc>
          <w:tcPr>
            <w:tcW w:w="3070" w:type="dxa"/>
          </w:tcPr>
          <w:p w:rsidR="003E27EC" w:rsidRPr="003E27EC" w:rsidRDefault="003E27EC" w:rsidP="003E27EC">
            <w:pPr>
              <w:pStyle w:val="PPVTableText"/>
              <w:rPr>
                <w:sz w:val="20"/>
                <w:szCs w:val="20"/>
              </w:rPr>
            </w:pPr>
            <w:r w:rsidRPr="003E27EC">
              <w:rPr>
                <w:sz w:val="20"/>
                <w:szCs w:val="20"/>
              </w:rPr>
              <w:t>“</w:t>
            </w:r>
          </w:p>
        </w:tc>
      </w:tr>
      <w:bookmarkEnd w:id="140"/>
    </w:tbl>
    <w:p w:rsidR="00EB6581" w:rsidRPr="00445060" w:rsidRDefault="00EB6581" w:rsidP="003E27EC">
      <w:pPr>
        <w:pStyle w:val="PPVBody"/>
      </w:pPr>
    </w:p>
    <w:sectPr w:rsidR="00EB6581" w:rsidRPr="00445060" w:rsidSect="00454572">
      <w:footerReference w:type="default" r:id="rId34"/>
      <w:pgSz w:w="11906" w:h="16838"/>
      <w:pgMar w:top="1701" w:right="1418" w:bottom="1701" w:left="1418" w:header="720" w:footer="44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UPDATEFIELDSPPV"/>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2DE9" w:rsidRDefault="00E62DE9" w:rsidP="00F236E4">
      <w:r>
        <w:separator/>
      </w:r>
    </w:p>
    <w:p w:rsidR="00E62DE9" w:rsidRDefault="00E62DE9" w:rsidP="00F236E4"/>
  </w:endnote>
  <w:endnote w:type="continuationSeparator" w:id="0">
    <w:p w:rsidR="00E62DE9" w:rsidRDefault="00E62DE9" w:rsidP="00F236E4">
      <w:r>
        <w:continuationSeparator/>
      </w:r>
    </w:p>
    <w:p w:rsidR="00E62DE9" w:rsidRDefault="00E62DE9" w:rsidP="00F2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IN">
    <w:altName w:val="Calibri"/>
    <w:charset w:val="00"/>
    <w:family w:val="swiss"/>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25F" w:rsidRDefault="0059425F">
    <w:pPr>
      <w:pStyle w:val="Footer"/>
    </w:pPr>
    <w:r>
      <w:drawing>
        <wp:anchor distT="0" distB="0" distL="114300" distR="114300" simplePos="0" relativeHeight="251659264" behindDoc="1" locked="0" layoutInCell="1" allowOverlap="1" wp14:anchorId="7279708D" wp14:editId="6CD8231B">
          <wp:simplePos x="0" y="0"/>
          <wp:positionH relativeFrom="column">
            <wp:posOffset>4471035</wp:posOffset>
          </wp:positionH>
          <wp:positionV relativeFrom="paragraph">
            <wp:posOffset>-244302</wp:posOffset>
          </wp:positionV>
          <wp:extent cx="1670541" cy="5715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25F" w:rsidRDefault="0059425F" w:rsidP="000C5DD2">
    <w:pPr>
      <w:pStyle w:val="PPVBody"/>
    </w:pPr>
  </w:p>
  <w:p w:rsidR="0059425F" w:rsidRDefault="0059425F" w:rsidP="000C5DD2">
    <w:pPr>
      <w:pStyle w:val="PPVBody"/>
    </w:pPr>
  </w:p>
  <w:p w:rsidR="0059425F" w:rsidRDefault="0059425F" w:rsidP="000C5DD2">
    <w:pPr>
      <w:pStyle w:val="PPVBody"/>
    </w:pPr>
    <w:r>
      <w:rPr>
        <w:noProof/>
      </w:rPr>
      <w:drawing>
        <wp:anchor distT="0" distB="0" distL="114300" distR="114300" simplePos="0" relativeHeight="251657216" behindDoc="1" locked="0" layoutInCell="1" allowOverlap="1" wp14:anchorId="7279708F" wp14:editId="72797090">
          <wp:simplePos x="0" y="0"/>
          <wp:positionH relativeFrom="column">
            <wp:posOffset>4138295</wp:posOffset>
          </wp:positionH>
          <wp:positionV relativeFrom="paragraph">
            <wp:posOffset>-372745</wp:posOffset>
          </wp:positionV>
          <wp:extent cx="1670541" cy="5715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25F" w:rsidRPr="00A1097B" w:rsidRDefault="0059425F" w:rsidP="00A109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25F" w:rsidRPr="00D775D4" w:rsidRDefault="0059425F" w:rsidP="00D775D4">
    <w:pPr>
      <w:pStyle w:val="PPVFooterBlack"/>
      <w:pBdr>
        <w:top w:val="single" w:sz="8" w:space="1" w:color="404040"/>
      </w:pBdr>
      <w:ind w:left="7655"/>
      <w:jc w:val="right"/>
      <w:rPr>
        <w:color w:val="595959"/>
        <w:sz w:val="18"/>
        <w:szCs w:val="18"/>
      </w:rPr>
    </w:pPr>
    <w:r w:rsidRPr="00195496">
      <w:rPr>
        <w:color w:val="595959"/>
        <w:sz w:val="18"/>
        <w:szCs w:val="18"/>
      </w:rPr>
      <w:t xml:space="preserve">Page </w:t>
    </w:r>
    <w:r w:rsidRPr="00195496">
      <w:rPr>
        <w:color w:val="595959"/>
        <w:sz w:val="18"/>
        <w:szCs w:val="18"/>
      </w:rPr>
      <w:fldChar w:fldCharType="begin"/>
    </w:r>
    <w:r w:rsidRPr="00195496">
      <w:rPr>
        <w:color w:val="595959"/>
        <w:sz w:val="18"/>
        <w:szCs w:val="18"/>
      </w:rPr>
      <w:instrText xml:space="preserve"> PAGE </w:instrText>
    </w:r>
    <w:r w:rsidRPr="00195496">
      <w:rPr>
        <w:color w:val="595959"/>
        <w:sz w:val="18"/>
        <w:szCs w:val="18"/>
      </w:rPr>
      <w:fldChar w:fldCharType="separate"/>
    </w:r>
    <w:r w:rsidR="0028199F">
      <w:rPr>
        <w:color w:val="595959"/>
        <w:sz w:val="18"/>
        <w:szCs w:val="18"/>
      </w:rPr>
      <w:t>9</w:t>
    </w:r>
    <w:r w:rsidRPr="00195496">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 xml:space="preserve"> SECTIONPAGES   \* MERGEFORMAT </w:instrText>
    </w:r>
    <w:r>
      <w:rPr>
        <w:color w:val="595959"/>
        <w:sz w:val="18"/>
        <w:szCs w:val="18"/>
      </w:rPr>
      <w:fldChar w:fldCharType="separate"/>
    </w:r>
    <w:r w:rsidR="0028199F">
      <w:rPr>
        <w:color w:val="595959"/>
        <w:sz w:val="18"/>
        <w:szCs w:val="18"/>
      </w:rPr>
      <w:t>9</w:t>
    </w:r>
    <w:r>
      <w:rPr>
        <w:color w:val="5959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2DE9" w:rsidRDefault="00E62DE9" w:rsidP="00F236E4">
      <w:r>
        <w:separator/>
      </w:r>
    </w:p>
  </w:footnote>
  <w:footnote w:type="continuationSeparator" w:id="0">
    <w:p w:rsidR="00E62DE9" w:rsidRDefault="00E62DE9" w:rsidP="00F236E4">
      <w:r>
        <w:continuationSeparator/>
      </w:r>
    </w:p>
    <w:p w:rsidR="00E62DE9" w:rsidRDefault="00E62DE9" w:rsidP="00F236E4"/>
  </w:footnote>
  <w:footnote w:id="1">
    <w:p w:rsidR="0059425F" w:rsidRDefault="0059425F" w:rsidP="00D20F9D">
      <w:pPr>
        <w:pStyle w:val="FootnoteText"/>
      </w:pPr>
      <w:r>
        <w:rPr>
          <w:rStyle w:val="FootnoteReference"/>
        </w:rPr>
        <w:footnoteRef/>
      </w:r>
      <w:r>
        <w:t xml:space="preserve"> Fishermans Bend Framework, page 17.</w:t>
      </w:r>
    </w:p>
  </w:footnote>
  <w:footnote w:id="2">
    <w:p w:rsidR="0059425F" w:rsidRDefault="0059425F" w:rsidP="00CC5922">
      <w:pPr>
        <w:pStyle w:val="FootnoteText"/>
      </w:pPr>
      <w:r>
        <w:rPr>
          <w:rStyle w:val="FootnoteReference"/>
        </w:rPr>
        <w:footnoteRef/>
      </w:r>
      <w:r>
        <w:t xml:space="preserve"> Fishermans Bend Vision, page 16</w:t>
      </w:r>
    </w:p>
  </w:footnote>
  <w:footnote w:id="3">
    <w:p w:rsidR="0059425F" w:rsidRDefault="0059425F" w:rsidP="00662A71">
      <w:pPr>
        <w:pStyle w:val="FootnoteText"/>
      </w:pPr>
      <w:r>
        <w:rPr>
          <w:rStyle w:val="FootnoteReference"/>
        </w:rPr>
        <w:footnoteRef/>
      </w:r>
      <w:r>
        <w:t xml:space="preserve"> Fishermans Bend Framework, page 70</w:t>
      </w:r>
    </w:p>
  </w:footnote>
  <w:footnote w:id="4">
    <w:p w:rsidR="0059425F" w:rsidRDefault="0059425F">
      <w:pPr>
        <w:pStyle w:val="FootnoteText"/>
      </w:pPr>
      <w:r>
        <w:rPr>
          <w:rStyle w:val="FootnoteReference"/>
        </w:rPr>
        <w:footnoteRef/>
      </w:r>
      <w:r>
        <w:t xml:space="preserve"> Fishermans Bend Framework, page 70</w:t>
      </w:r>
    </w:p>
  </w:footnote>
  <w:footnote w:id="5">
    <w:p w:rsidR="0059425F" w:rsidRDefault="0059425F" w:rsidP="00152469">
      <w:pPr>
        <w:pStyle w:val="FootnoteText"/>
      </w:pPr>
      <w:r>
        <w:rPr>
          <w:rStyle w:val="FootnoteReference"/>
        </w:rPr>
        <w:footnoteRef/>
      </w:r>
      <w:r>
        <w:t xml:space="preserve"> CoPP Closing Submissions – Montague (DM42), para 3.</w:t>
      </w:r>
    </w:p>
  </w:footnote>
  <w:footnote w:id="6">
    <w:p w:rsidR="0059425F" w:rsidRDefault="0059425F">
      <w:pPr>
        <w:pStyle w:val="FootnoteText"/>
      </w:pPr>
      <w:r>
        <w:rPr>
          <w:rStyle w:val="FootnoteReference"/>
        </w:rPr>
        <w:footnoteRef/>
      </w:r>
      <w:r>
        <w:t xml:space="preserve"> Hodyl + Co, </w:t>
      </w:r>
      <w:r w:rsidRPr="005B36E5">
        <w:rPr>
          <w:i/>
        </w:rPr>
        <w:t>Fishermans Bend Urban Design Strategy</w:t>
      </w:r>
      <w:r>
        <w:rPr>
          <w:i/>
        </w:rPr>
        <w:t xml:space="preserve"> </w:t>
      </w:r>
      <w:r w:rsidRPr="005B36E5">
        <w:t>(</w:t>
      </w:r>
      <w:r>
        <w:t>D53), page 88.</w:t>
      </w:r>
    </w:p>
  </w:footnote>
  <w:footnote w:id="7">
    <w:p w:rsidR="0059425F" w:rsidRDefault="0059425F">
      <w:pPr>
        <w:pStyle w:val="FootnoteText"/>
      </w:pPr>
      <w:r>
        <w:rPr>
          <w:rStyle w:val="FootnoteReference"/>
        </w:rPr>
        <w:footnoteRef/>
      </w:r>
      <w:r>
        <w:t xml:space="preserve"> Hodyl + Co, </w:t>
      </w:r>
      <w:r w:rsidRPr="005B36E5">
        <w:rPr>
          <w:i/>
        </w:rPr>
        <w:t>Fishermans Bend Urban Design Strategy</w:t>
      </w:r>
      <w:r>
        <w:rPr>
          <w:i/>
        </w:rPr>
        <w:t xml:space="preserve"> </w:t>
      </w:r>
      <w:r w:rsidRPr="005B36E5">
        <w:t>(</w:t>
      </w:r>
      <w:r>
        <w:t>D53), page 69.</w:t>
      </w:r>
    </w:p>
  </w:footnote>
  <w:footnote w:id="8">
    <w:p w:rsidR="0059425F" w:rsidRDefault="0059425F">
      <w:pPr>
        <w:pStyle w:val="FootnoteText"/>
      </w:pPr>
      <w:r>
        <w:rPr>
          <w:rStyle w:val="FootnoteReference"/>
        </w:rPr>
        <w:footnoteRef/>
      </w:r>
      <w:r>
        <w:t xml:space="preserve"> Minister opening submission, DM1A.</w:t>
      </w:r>
    </w:p>
  </w:footnote>
  <w:footnote w:id="9">
    <w:p w:rsidR="0059425F" w:rsidRDefault="0059425F">
      <w:pPr>
        <w:pStyle w:val="FootnoteText"/>
      </w:pPr>
      <w:r>
        <w:rPr>
          <w:rStyle w:val="FootnoteReference"/>
        </w:rPr>
        <w:footnoteRef/>
      </w:r>
      <w:r>
        <w:t xml:space="preserve"> Port Phillip, DM3A, [10].</w:t>
      </w:r>
    </w:p>
  </w:footnote>
  <w:footnote w:id="10">
    <w:p w:rsidR="0059425F" w:rsidRDefault="0059425F" w:rsidP="00CB2CBD">
      <w:pPr>
        <w:pStyle w:val="FootnoteText"/>
      </w:pPr>
      <w:r>
        <w:rPr>
          <w:rStyle w:val="FootnoteReference"/>
        </w:rPr>
        <w:footnoteRef/>
      </w:r>
      <w:r>
        <w:t xml:space="preserve"> D305, with corrections contained in D322.</w:t>
      </w:r>
    </w:p>
  </w:footnote>
  <w:footnote w:id="11">
    <w:p w:rsidR="0059425F" w:rsidRDefault="0059425F">
      <w:pPr>
        <w:pStyle w:val="FootnoteText"/>
      </w:pPr>
      <w:r>
        <w:rPr>
          <w:rStyle w:val="FootnoteReference"/>
        </w:rPr>
        <w:footnoteRef/>
      </w:r>
      <w:r>
        <w:t xml:space="preserve"> Montague submission (M3A), figure 3.</w:t>
      </w:r>
    </w:p>
  </w:footnote>
  <w:footnote w:id="12">
    <w:p w:rsidR="0059425F" w:rsidRDefault="0059425F">
      <w:pPr>
        <w:pStyle w:val="FootnoteText"/>
      </w:pPr>
      <w:r>
        <w:rPr>
          <w:rStyle w:val="FootnoteReference"/>
        </w:rPr>
        <w:footnoteRef/>
      </w:r>
      <w:r>
        <w:t xml:space="preserve"> Montague submission for CoPP (M3a), [12].</w:t>
      </w:r>
    </w:p>
  </w:footnote>
  <w:footnote w:id="13">
    <w:p w:rsidR="0059425F" w:rsidRDefault="0059425F" w:rsidP="003223A2">
      <w:pPr>
        <w:pStyle w:val="FootnoteText"/>
      </w:pPr>
      <w:r>
        <w:rPr>
          <w:rStyle w:val="FootnoteReference"/>
        </w:rPr>
        <w:footnoteRef/>
      </w:r>
      <w:r>
        <w:t xml:space="preserve"> Montague submission (DM3A), para 14.</w:t>
      </w:r>
    </w:p>
  </w:footnote>
  <w:footnote w:id="14">
    <w:p w:rsidR="0059425F" w:rsidRDefault="0059425F">
      <w:pPr>
        <w:pStyle w:val="FootnoteText"/>
      </w:pPr>
      <w:r>
        <w:rPr>
          <w:rStyle w:val="FootnoteReference"/>
        </w:rPr>
        <w:footnoteRef/>
      </w:r>
      <w:r>
        <w:t xml:space="preserve"> Minister closing submission, DM41, para 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25F" w:rsidRPr="00195496" w:rsidRDefault="0059425F" w:rsidP="00C70AC5">
    <w:pPr>
      <w:pBdr>
        <w:bottom w:val="single" w:sz="8" w:space="1" w:color="auto"/>
      </w:pBdr>
      <w:jc w:val="right"/>
      <w:rPr>
        <w:sz w:val="18"/>
        <w:szCs w:val="18"/>
      </w:rPr>
    </w:pPr>
    <w:r w:rsidRPr="00195496">
      <w:rPr>
        <w:sz w:val="18"/>
        <w:szCs w:val="18"/>
      </w:rPr>
      <w:fldChar w:fldCharType="begin"/>
    </w:r>
    <w:r w:rsidRPr="00195496">
      <w:rPr>
        <w:sz w:val="18"/>
        <w:szCs w:val="18"/>
      </w:rPr>
      <w:instrText xml:space="preserve"> STYLEREF  "AAA Panel Name"  \* MERGEFORMAT </w:instrText>
    </w:r>
    <w:r w:rsidRPr="00195496">
      <w:rPr>
        <w:sz w:val="18"/>
        <w:szCs w:val="18"/>
      </w:rPr>
      <w:fldChar w:fldCharType="separate"/>
    </w:r>
    <w:r w:rsidR="0028199F" w:rsidRPr="0028199F">
      <w:rPr>
        <w:bCs/>
        <w:sz w:val="18"/>
        <w:szCs w:val="18"/>
        <w:lang w:val="en-US"/>
      </w:rPr>
      <w:t>Fishermans Bend Planning</w:t>
    </w:r>
    <w:r w:rsidR="0028199F">
      <w:rPr>
        <w:sz w:val="18"/>
        <w:szCs w:val="18"/>
      </w:rPr>
      <w:t xml:space="preserve"> Review Panel</w:t>
    </w:r>
    <w:r w:rsidRPr="00195496">
      <w:rPr>
        <w:sz w:val="18"/>
        <w:szCs w:val="18"/>
      </w:rPr>
      <w:fldChar w:fldCharType="end"/>
    </w:r>
    <w:r w:rsidRPr="00195496">
      <w:rPr>
        <w:sz w:val="18"/>
        <w:szCs w:val="18"/>
      </w:rPr>
      <w:t xml:space="preserve"> </w:t>
    </w:r>
    <w:r w:rsidRPr="00195496">
      <w:rPr>
        <w:sz w:val="18"/>
        <w:szCs w:val="18"/>
      </w:rPr>
      <w:sym w:font="Symbol" w:char="007C"/>
    </w:r>
    <w:r w:rsidRPr="00195496">
      <w:rPr>
        <w:sz w:val="18"/>
        <w:szCs w:val="18"/>
      </w:rPr>
      <w:t xml:space="preserve"> </w:t>
    </w:r>
    <w:r>
      <w:rPr>
        <w:sz w:val="18"/>
        <w:szCs w:val="18"/>
      </w:rPr>
      <w:t xml:space="preserve">Montague Precinct </w:t>
    </w:r>
    <w:r w:rsidRPr="00195496">
      <w:rPr>
        <w:sz w:val="18"/>
        <w:szCs w:val="18"/>
      </w:rPr>
      <w:sym w:font="Symbol" w:char="007C"/>
    </w:r>
    <w:r w:rsidRPr="00195496">
      <w:rPr>
        <w:sz w:val="18"/>
        <w:szCs w:val="18"/>
      </w:rPr>
      <w:t xml:space="preserve"> </w:t>
    </w:r>
    <w:r w:rsidRPr="00195496">
      <w:rPr>
        <w:sz w:val="18"/>
        <w:szCs w:val="18"/>
      </w:rPr>
      <w:fldChar w:fldCharType="begin"/>
    </w:r>
    <w:r w:rsidRPr="00195496">
      <w:rPr>
        <w:sz w:val="18"/>
        <w:szCs w:val="18"/>
      </w:rPr>
      <w:instrText xml:space="preserve"> STYLEREF  "AA Date"  \* MERGEFORMAT </w:instrText>
    </w:r>
    <w:r w:rsidRPr="00195496">
      <w:rPr>
        <w:sz w:val="18"/>
        <w:szCs w:val="18"/>
      </w:rPr>
      <w:fldChar w:fldCharType="separate"/>
    </w:r>
    <w:r w:rsidR="0028199F" w:rsidRPr="0028199F">
      <w:rPr>
        <w:bCs/>
        <w:sz w:val="18"/>
        <w:szCs w:val="18"/>
        <w:lang w:val="en-US"/>
      </w:rPr>
      <w:t>19</w:t>
    </w:r>
    <w:r w:rsidR="0028199F">
      <w:rPr>
        <w:sz w:val="18"/>
        <w:szCs w:val="18"/>
      </w:rPr>
      <w:t xml:space="preserve"> July 2018</w:t>
    </w:r>
    <w:r w:rsidRPr="00195496">
      <w:rPr>
        <w:sz w:val="18"/>
        <w:szCs w:val="18"/>
      </w:rPr>
      <w:fldChar w:fldCharType="end"/>
    </w:r>
  </w:p>
  <w:p w:rsidR="0059425F" w:rsidRPr="00681DCE" w:rsidRDefault="0059425F" w:rsidP="00681D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25F" w:rsidRPr="00195496" w:rsidRDefault="0059425F" w:rsidP="00C70AC5">
    <w:pPr>
      <w:pBdr>
        <w:bottom w:val="single" w:sz="8" w:space="1" w:color="auto"/>
      </w:pBdr>
      <w:jc w:val="right"/>
      <w:rPr>
        <w:sz w:val="18"/>
        <w:szCs w:val="18"/>
      </w:rPr>
    </w:pPr>
    <w:r w:rsidRPr="00195496">
      <w:rPr>
        <w:sz w:val="18"/>
        <w:szCs w:val="18"/>
      </w:rPr>
      <w:fldChar w:fldCharType="begin"/>
    </w:r>
    <w:r w:rsidRPr="00195496">
      <w:rPr>
        <w:sz w:val="18"/>
        <w:szCs w:val="18"/>
      </w:rPr>
      <w:instrText xml:space="preserve"> STYLEREF  "AAA Panel Name"  \* MERGEFORMAT </w:instrText>
    </w:r>
    <w:r w:rsidRPr="00195496">
      <w:rPr>
        <w:sz w:val="18"/>
        <w:szCs w:val="18"/>
      </w:rPr>
      <w:fldChar w:fldCharType="separate"/>
    </w:r>
    <w:r w:rsidR="0028199F" w:rsidRPr="0028199F">
      <w:rPr>
        <w:bCs/>
        <w:sz w:val="18"/>
        <w:szCs w:val="18"/>
        <w:lang w:val="en-US"/>
      </w:rPr>
      <w:t>Fishermans Bend Planning</w:t>
    </w:r>
    <w:r w:rsidR="0028199F">
      <w:rPr>
        <w:sz w:val="18"/>
        <w:szCs w:val="18"/>
      </w:rPr>
      <w:t xml:space="preserve"> Review Panel</w:t>
    </w:r>
    <w:r w:rsidRPr="00195496">
      <w:rPr>
        <w:sz w:val="18"/>
        <w:szCs w:val="18"/>
      </w:rPr>
      <w:fldChar w:fldCharType="end"/>
    </w:r>
    <w:r w:rsidRPr="00195496">
      <w:rPr>
        <w:sz w:val="18"/>
        <w:szCs w:val="18"/>
      </w:rPr>
      <w:t xml:space="preserve"> </w:t>
    </w:r>
    <w:r w:rsidRPr="00195496">
      <w:rPr>
        <w:sz w:val="18"/>
        <w:szCs w:val="18"/>
      </w:rPr>
      <w:sym w:font="Symbol" w:char="007C"/>
    </w:r>
    <w:r w:rsidRPr="00195496">
      <w:rPr>
        <w:sz w:val="18"/>
        <w:szCs w:val="18"/>
      </w:rPr>
      <w:t xml:space="preserve"> </w:t>
    </w:r>
    <w:r>
      <w:rPr>
        <w:sz w:val="18"/>
        <w:szCs w:val="18"/>
      </w:rPr>
      <w:t xml:space="preserve">Montague Precinct </w:t>
    </w:r>
    <w:r w:rsidRPr="00195496">
      <w:rPr>
        <w:sz w:val="18"/>
        <w:szCs w:val="18"/>
      </w:rPr>
      <w:sym w:font="Symbol" w:char="007C"/>
    </w:r>
    <w:r w:rsidRPr="00195496">
      <w:rPr>
        <w:sz w:val="18"/>
        <w:szCs w:val="18"/>
      </w:rPr>
      <w:t xml:space="preserve"> </w:t>
    </w:r>
    <w:r w:rsidRPr="00195496">
      <w:rPr>
        <w:sz w:val="18"/>
        <w:szCs w:val="18"/>
      </w:rPr>
      <w:fldChar w:fldCharType="begin"/>
    </w:r>
    <w:r w:rsidRPr="00195496">
      <w:rPr>
        <w:sz w:val="18"/>
        <w:szCs w:val="18"/>
      </w:rPr>
      <w:instrText xml:space="preserve"> STYLEREF  "AA Date"  \* MERGEFORMAT </w:instrText>
    </w:r>
    <w:r w:rsidRPr="00195496">
      <w:rPr>
        <w:sz w:val="18"/>
        <w:szCs w:val="18"/>
      </w:rPr>
      <w:fldChar w:fldCharType="separate"/>
    </w:r>
    <w:r w:rsidR="0028199F" w:rsidRPr="0028199F">
      <w:rPr>
        <w:bCs/>
        <w:sz w:val="18"/>
        <w:szCs w:val="18"/>
        <w:lang w:val="en-US"/>
      </w:rPr>
      <w:t>19</w:t>
    </w:r>
    <w:r w:rsidR="0028199F">
      <w:rPr>
        <w:sz w:val="18"/>
        <w:szCs w:val="18"/>
      </w:rPr>
      <w:t xml:space="preserve"> July 2018</w:t>
    </w:r>
    <w:r w:rsidRPr="00195496">
      <w:rPr>
        <w:sz w:val="18"/>
        <w:szCs w:val="18"/>
      </w:rPr>
      <w:fldChar w:fldCharType="end"/>
    </w:r>
  </w:p>
  <w:p w:rsidR="0059425F" w:rsidRPr="00070412" w:rsidRDefault="0059425F" w:rsidP="0007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37634"/>
    <w:multiLevelType w:val="hybridMultilevel"/>
    <w:tmpl w:val="E5A0E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910427"/>
    <w:multiLevelType w:val="multilevel"/>
    <w:tmpl w:val="227E870A"/>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3B0BE8"/>
    <w:multiLevelType w:val="multilevel"/>
    <w:tmpl w:val="81F86754"/>
    <w:lvl w:ilvl="0">
      <w:start w:val="1"/>
      <w:numFmt w:val="decimal"/>
      <w:pStyle w:val="PPVRecommendation"/>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440" w:hanging="360"/>
      </w:pPr>
      <w:rPr>
        <w:rFonts w:hint="default"/>
      </w:rPr>
    </w:lvl>
    <w:lvl w:ilvl="2">
      <w:start w:val="1"/>
      <w:numFmt w:val="bullet"/>
      <w:pStyle w:val="PPVRecommendation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B40253B"/>
    <w:multiLevelType w:val="hybridMultilevel"/>
    <w:tmpl w:val="B360E04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163E25"/>
    <w:multiLevelType w:val="multilevel"/>
    <w:tmpl w:val="007841FC"/>
    <w:lvl w:ilvl="0">
      <w:start w:val="1"/>
      <w:numFmt w:val="decimal"/>
      <w:lvlText w:val="%1"/>
      <w:lvlJc w:val="left"/>
      <w:pPr>
        <w:tabs>
          <w:tab w:val="num" w:pos="1440"/>
        </w:tabs>
        <w:ind w:left="851" w:hanging="851"/>
      </w:pPr>
      <w:rPr>
        <w:rFonts w:hint="default"/>
        <w:b/>
        <w:i w:val="0"/>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5" w15:restartNumberingAfterBreak="0">
    <w:nsid w:val="216F6996"/>
    <w:multiLevelType w:val="multilevel"/>
    <w:tmpl w:val="7BCCC9CE"/>
    <w:lvl w:ilvl="0">
      <w:start w:val="1"/>
      <w:numFmt w:val="bullet"/>
      <w:pStyle w:val="PPVBullet1"/>
      <w:lvlText w:val=""/>
      <w:lvlJc w:val="left"/>
      <w:pPr>
        <w:tabs>
          <w:tab w:val="num" w:pos="851"/>
        </w:tabs>
        <w:ind w:left="851" w:hanging="284"/>
      </w:pPr>
      <w:rPr>
        <w:rFonts w:ascii="Symbol" w:hAnsi="Symbol" w:hint="default"/>
      </w:rPr>
    </w:lvl>
    <w:lvl w:ilvl="1">
      <w:start w:val="1"/>
      <w:numFmt w:val="bullet"/>
      <w:pStyle w:val="PPVBullet2"/>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1D77EBE"/>
    <w:multiLevelType w:val="multilevel"/>
    <w:tmpl w:val="227E870A"/>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BBB6374"/>
    <w:multiLevelType w:val="hybridMultilevel"/>
    <w:tmpl w:val="59941FC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9577C36"/>
    <w:multiLevelType w:val="hybridMultilevel"/>
    <w:tmpl w:val="D31C9A00"/>
    <w:lvl w:ilvl="0" w:tplc="8BB4E508">
      <w:start w:val="1"/>
      <w:numFmt w:val="decimal"/>
      <w:lvlText w:val="1.%1"/>
      <w:lvlJc w:val="left"/>
      <w:pPr>
        <w:ind w:left="149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9" w15:restartNumberingAfterBreak="0">
    <w:nsid w:val="46503F93"/>
    <w:multiLevelType w:val="hybridMultilevel"/>
    <w:tmpl w:val="B42CB2CC"/>
    <w:lvl w:ilvl="0" w:tplc="D8780CA2">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0" w15:restartNumberingAfterBreak="0">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2" w15:restartNumberingAfterBreak="0">
    <w:nsid w:val="5787312D"/>
    <w:multiLevelType w:val="hybridMultilevel"/>
    <w:tmpl w:val="FEEE9E74"/>
    <w:lvl w:ilvl="0" w:tplc="51C45B40">
      <w:start w:val="1"/>
      <w:numFmt w:val="lowerLetter"/>
      <w:lvlText w:val="%1)"/>
      <w:lvlJc w:val="left"/>
      <w:pPr>
        <w:ind w:left="1211"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3" w15:restartNumberingAfterBreak="0">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14" w15:restartNumberingAfterBreak="0">
    <w:nsid w:val="5D915B5C"/>
    <w:multiLevelType w:val="hybridMultilevel"/>
    <w:tmpl w:val="4CF022F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DE3121C"/>
    <w:multiLevelType w:val="hybridMultilevel"/>
    <w:tmpl w:val="F2A68CA6"/>
    <w:lvl w:ilvl="0" w:tplc="EAE6342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6" w15:restartNumberingAfterBreak="0">
    <w:nsid w:val="67FD133F"/>
    <w:multiLevelType w:val="multilevel"/>
    <w:tmpl w:val="EF3EC16E"/>
    <w:lvl w:ilvl="0">
      <w:start w:val="1"/>
      <w:numFmt w:val="decimal"/>
      <w:lvlText w:val="%1"/>
      <w:lvlJc w:val="left"/>
      <w:pPr>
        <w:tabs>
          <w:tab w:val="num" w:pos="1440"/>
        </w:tabs>
        <w:ind w:left="851" w:hanging="851"/>
      </w:pPr>
      <w:rPr>
        <w:rFonts w:hint="default"/>
        <w:b/>
        <w:i w:val="0"/>
      </w:rPr>
    </w:lvl>
    <w:lvl w:ilvl="1">
      <w:start w:val="2"/>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851" w:hanging="851"/>
      </w:pPr>
      <w:rPr>
        <w:rFonts w:hint="default"/>
        <w:b/>
        <w:i w:val="0"/>
        <w:caps w:val="0"/>
        <w:strike w:val="0"/>
        <w:dstrike w:val="0"/>
        <w:vanish w:val="0"/>
        <w:color w:val="00000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Roman"/>
      <w:lvlText w:val="(%4) "/>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7" w15:restartNumberingAfterBreak="0">
    <w:nsid w:val="6A382948"/>
    <w:multiLevelType w:val="hybridMultilevel"/>
    <w:tmpl w:val="DA2C535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C485ABC"/>
    <w:multiLevelType w:val="multilevel"/>
    <w:tmpl w:val="F4D41A9C"/>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080"/>
        </w:tabs>
        <w:ind w:left="1080" w:hanging="360"/>
      </w:pPr>
      <w:rPr>
        <w:rFonts w:ascii="Calibri" w:hAnsi="Calibri"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99D4A03"/>
    <w:multiLevelType w:val="hybridMultilevel"/>
    <w:tmpl w:val="0CDA7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FD19B6"/>
    <w:multiLevelType w:val="multilevel"/>
    <w:tmpl w:val="0E506F68"/>
    <w:lvl w:ilvl="0">
      <w:start w:val="1"/>
      <w:numFmt w:val="decimal"/>
      <w:pStyle w:val="Heading1"/>
      <w:lvlText w:val="%1"/>
      <w:lvlJc w:val="left"/>
      <w:pPr>
        <w:tabs>
          <w:tab w:val="num" w:pos="1440"/>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440"/>
        </w:tabs>
        <w:ind w:left="851" w:hanging="851"/>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13"/>
  </w:num>
  <w:num w:numId="2">
    <w:abstractNumId w:val="5"/>
  </w:num>
  <w:num w:numId="3">
    <w:abstractNumId w:val="18"/>
  </w:num>
  <w:num w:numId="4">
    <w:abstractNumId w:val="10"/>
  </w:num>
  <w:num w:numId="5">
    <w:abstractNumId w:val="8"/>
  </w:num>
  <w:num w:numId="6">
    <w:abstractNumId w:val="16"/>
  </w:num>
  <w:num w:numId="7">
    <w:abstractNumId w:val="2"/>
  </w:num>
  <w:num w:numId="8">
    <w:abstractNumId w:val="12"/>
  </w:num>
  <w:num w:numId="9">
    <w:abstractNumId w:val="12"/>
    <w:lvlOverride w:ilvl="0">
      <w:startOverride w:val="1"/>
    </w:lvlOverride>
  </w:num>
  <w:num w:numId="10">
    <w:abstractNumId w:val="3"/>
  </w:num>
  <w:num w:numId="11">
    <w:abstractNumId w:val="15"/>
  </w:num>
  <w:num w:numId="12">
    <w:abstractNumId w:val="11"/>
  </w:num>
  <w:num w:numId="13">
    <w:abstractNumId w:val="4"/>
  </w:num>
  <w:num w:numId="14">
    <w:abstractNumId w:val="1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5"/>
    </w:lvlOverride>
    <w:lvlOverride w:ilvl="1">
      <w:startOverride w:val="2"/>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2"/>
    </w:lvlOverride>
    <w:lvlOverride w:ilvl="2">
      <w:startOverride w:val="1"/>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8"/>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1"/>
  </w:num>
  <w:num w:numId="33">
    <w:abstractNumId w:val="19"/>
  </w:num>
  <w:num w:numId="34">
    <w:abstractNumId w:val="7"/>
  </w:num>
  <w:num w:numId="35">
    <w:abstractNumId w:val="14"/>
  </w:num>
  <w:num w:numId="36">
    <w:abstractNumId w:val="17"/>
  </w:num>
  <w:num w:numId="37">
    <w:abstractNumId w:val="2"/>
    <w:lvlOverride w:ilvl="0">
      <w:startOverride w:val="7"/>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removePersonalInformation/>
  <w:removeDateAndTime/>
  <w:hideGrammaticalErrors/>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A03"/>
    <w:rsid w:val="00004430"/>
    <w:rsid w:val="00005B9B"/>
    <w:rsid w:val="000063DE"/>
    <w:rsid w:val="00006D3B"/>
    <w:rsid w:val="00012751"/>
    <w:rsid w:val="00014116"/>
    <w:rsid w:val="00024550"/>
    <w:rsid w:val="0002563A"/>
    <w:rsid w:val="0003091F"/>
    <w:rsid w:val="00031A10"/>
    <w:rsid w:val="0003454B"/>
    <w:rsid w:val="00036E71"/>
    <w:rsid w:val="00041877"/>
    <w:rsid w:val="00042B0B"/>
    <w:rsid w:val="000455FF"/>
    <w:rsid w:val="0004597D"/>
    <w:rsid w:val="00045DC9"/>
    <w:rsid w:val="000472D4"/>
    <w:rsid w:val="000548BE"/>
    <w:rsid w:val="000559BA"/>
    <w:rsid w:val="000654A5"/>
    <w:rsid w:val="00067A1E"/>
    <w:rsid w:val="00067EF5"/>
    <w:rsid w:val="00070412"/>
    <w:rsid w:val="00072A23"/>
    <w:rsid w:val="00072BE2"/>
    <w:rsid w:val="00076FA6"/>
    <w:rsid w:val="000810A2"/>
    <w:rsid w:val="0008561C"/>
    <w:rsid w:val="00087331"/>
    <w:rsid w:val="000A2667"/>
    <w:rsid w:val="000A379A"/>
    <w:rsid w:val="000A400E"/>
    <w:rsid w:val="000A4033"/>
    <w:rsid w:val="000A6F58"/>
    <w:rsid w:val="000A7A6D"/>
    <w:rsid w:val="000B0B45"/>
    <w:rsid w:val="000B2F54"/>
    <w:rsid w:val="000B40EE"/>
    <w:rsid w:val="000B7EF2"/>
    <w:rsid w:val="000C06D6"/>
    <w:rsid w:val="000C2DE8"/>
    <w:rsid w:val="000C5782"/>
    <w:rsid w:val="000C5DD2"/>
    <w:rsid w:val="000D119D"/>
    <w:rsid w:val="000D1342"/>
    <w:rsid w:val="000D35C8"/>
    <w:rsid w:val="000D7853"/>
    <w:rsid w:val="000E0107"/>
    <w:rsid w:val="000E1854"/>
    <w:rsid w:val="000E1A26"/>
    <w:rsid w:val="000E2353"/>
    <w:rsid w:val="000E3989"/>
    <w:rsid w:val="000E4530"/>
    <w:rsid w:val="000E6D34"/>
    <w:rsid w:val="000E7757"/>
    <w:rsid w:val="000F2F46"/>
    <w:rsid w:val="000F3A79"/>
    <w:rsid w:val="000F4511"/>
    <w:rsid w:val="000F4900"/>
    <w:rsid w:val="000F4ED9"/>
    <w:rsid w:val="000F78DD"/>
    <w:rsid w:val="0010257E"/>
    <w:rsid w:val="001042A1"/>
    <w:rsid w:val="0010689D"/>
    <w:rsid w:val="00110178"/>
    <w:rsid w:val="00110B59"/>
    <w:rsid w:val="00110EA0"/>
    <w:rsid w:val="0011294F"/>
    <w:rsid w:val="00113C38"/>
    <w:rsid w:val="001149B4"/>
    <w:rsid w:val="00114CBD"/>
    <w:rsid w:val="001263A8"/>
    <w:rsid w:val="00132640"/>
    <w:rsid w:val="00132ACA"/>
    <w:rsid w:val="001353C6"/>
    <w:rsid w:val="00137A7C"/>
    <w:rsid w:val="001427A8"/>
    <w:rsid w:val="001428B0"/>
    <w:rsid w:val="001470CA"/>
    <w:rsid w:val="00152469"/>
    <w:rsid w:val="00152971"/>
    <w:rsid w:val="001531DE"/>
    <w:rsid w:val="00154B75"/>
    <w:rsid w:val="00155CE3"/>
    <w:rsid w:val="00160125"/>
    <w:rsid w:val="00160515"/>
    <w:rsid w:val="00160551"/>
    <w:rsid w:val="00160C51"/>
    <w:rsid w:val="00161D6D"/>
    <w:rsid w:val="0016284F"/>
    <w:rsid w:val="00162C28"/>
    <w:rsid w:val="0016347E"/>
    <w:rsid w:val="0017131F"/>
    <w:rsid w:val="00175493"/>
    <w:rsid w:val="00176015"/>
    <w:rsid w:val="0017779D"/>
    <w:rsid w:val="001806EB"/>
    <w:rsid w:val="001811DC"/>
    <w:rsid w:val="00182C45"/>
    <w:rsid w:val="00186075"/>
    <w:rsid w:val="00192292"/>
    <w:rsid w:val="00193CCD"/>
    <w:rsid w:val="00193CFF"/>
    <w:rsid w:val="00193E0E"/>
    <w:rsid w:val="00194749"/>
    <w:rsid w:val="00195253"/>
    <w:rsid w:val="00195496"/>
    <w:rsid w:val="0019600C"/>
    <w:rsid w:val="001969B0"/>
    <w:rsid w:val="0019708D"/>
    <w:rsid w:val="001A1F8C"/>
    <w:rsid w:val="001A255F"/>
    <w:rsid w:val="001A3452"/>
    <w:rsid w:val="001A4F4E"/>
    <w:rsid w:val="001A5377"/>
    <w:rsid w:val="001A569B"/>
    <w:rsid w:val="001A639E"/>
    <w:rsid w:val="001B1B3E"/>
    <w:rsid w:val="001B340C"/>
    <w:rsid w:val="001B43D3"/>
    <w:rsid w:val="001B5C9E"/>
    <w:rsid w:val="001C449D"/>
    <w:rsid w:val="001C6F6B"/>
    <w:rsid w:val="001D253C"/>
    <w:rsid w:val="001D4740"/>
    <w:rsid w:val="001D4F05"/>
    <w:rsid w:val="001E1814"/>
    <w:rsid w:val="001E18FE"/>
    <w:rsid w:val="001E1DAE"/>
    <w:rsid w:val="001E2798"/>
    <w:rsid w:val="001E3695"/>
    <w:rsid w:val="001E5246"/>
    <w:rsid w:val="001E6080"/>
    <w:rsid w:val="001E73BE"/>
    <w:rsid w:val="001E76A0"/>
    <w:rsid w:val="001F042A"/>
    <w:rsid w:val="001F102A"/>
    <w:rsid w:val="001F4FB4"/>
    <w:rsid w:val="001F5F20"/>
    <w:rsid w:val="001F6012"/>
    <w:rsid w:val="0020081F"/>
    <w:rsid w:val="002016D7"/>
    <w:rsid w:val="002026A8"/>
    <w:rsid w:val="00203E65"/>
    <w:rsid w:val="00204792"/>
    <w:rsid w:val="002050F3"/>
    <w:rsid w:val="002125E5"/>
    <w:rsid w:val="0021418A"/>
    <w:rsid w:val="00217AEF"/>
    <w:rsid w:val="002223C6"/>
    <w:rsid w:val="00222A51"/>
    <w:rsid w:val="00223FC9"/>
    <w:rsid w:val="00230525"/>
    <w:rsid w:val="00230EE7"/>
    <w:rsid w:val="00231F6F"/>
    <w:rsid w:val="002328D6"/>
    <w:rsid w:val="00233351"/>
    <w:rsid w:val="00234A34"/>
    <w:rsid w:val="00236CD2"/>
    <w:rsid w:val="002402D5"/>
    <w:rsid w:val="00242D2A"/>
    <w:rsid w:val="00245302"/>
    <w:rsid w:val="0024587A"/>
    <w:rsid w:val="00245F42"/>
    <w:rsid w:val="00247239"/>
    <w:rsid w:val="00253AD7"/>
    <w:rsid w:val="00263B06"/>
    <w:rsid w:val="002659AA"/>
    <w:rsid w:val="00272FD2"/>
    <w:rsid w:val="0028199F"/>
    <w:rsid w:val="00283B59"/>
    <w:rsid w:val="00295C79"/>
    <w:rsid w:val="002A27E4"/>
    <w:rsid w:val="002A2FE9"/>
    <w:rsid w:val="002A364A"/>
    <w:rsid w:val="002A3D3B"/>
    <w:rsid w:val="002A3F9E"/>
    <w:rsid w:val="002A4918"/>
    <w:rsid w:val="002A4BE1"/>
    <w:rsid w:val="002A6A07"/>
    <w:rsid w:val="002B315A"/>
    <w:rsid w:val="002B3D61"/>
    <w:rsid w:val="002B6623"/>
    <w:rsid w:val="002C0FDA"/>
    <w:rsid w:val="002C1996"/>
    <w:rsid w:val="002C49BF"/>
    <w:rsid w:val="002C5E1B"/>
    <w:rsid w:val="002D09F7"/>
    <w:rsid w:val="002D32A6"/>
    <w:rsid w:val="002D4702"/>
    <w:rsid w:val="002D526D"/>
    <w:rsid w:val="002D539D"/>
    <w:rsid w:val="002D7109"/>
    <w:rsid w:val="002E1CEE"/>
    <w:rsid w:val="002E66B6"/>
    <w:rsid w:val="002F0ACC"/>
    <w:rsid w:val="002F0B81"/>
    <w:rsid w:val="002F0E53"/>
    <w:rsid w:val="002F2175"/>
    <w:rsid w:val="002F2A8B"/>
    <w:rsid w:val="002F3EE3"/>
    <w:rsid w:val="002F62D7"/>
    <w:rsid w:val="002F65A0"/>
    <w:rsid w:val="00302D22"/>
    <w:rsid w:val="003030DE"/>
    <w:rsid w:val="00304469"/>
    <w:rsid w:val="00304A6A"/>
    <w:rsid w:val="00306260"/>
    <w:rsid w:val="00306773"/>
    <w:rsid w:val="0031083F"/>
    <w:rsid w:val="00313ED2"/>
    <w:rsid w:val="00314E42"/>
    <w:rsid w:val="00315A64"/>
    <w:rsid w:val="0031609C"/>
    <w:rsid w:val="003174D7"/>
    <w:rsid w:val="003213E4"/>
    <w:rsid w:val="003223A2"/>
    <w:rsid w:val="0032407D"/>
    <w:rsid w:val="00326F6F"/>
    <w:rsid w:val="00333553"/>
    <w:rsid w:val="00333796"/>
    <w:rsid w:val="00334F0C"/>
    <w:rsid w:val="00337C1E"/>
    <w:rsid w:val="00337EA2"/>
    <w:rsid w:val="00337FB3"/>
    <w:rsid w:val="0034160D"/>
    <w:rsid w:val="00341B5B"/>
    <w:rsid w:val="00343536"/>
    <w:rsid w:val="0035209E"/>
    <w:rsid w:val="0035340E"/>
    <w:rsid w:val="00360538"/>
    <w:rsid w:val="00362A22"/>
    <w:rsid w:val="00362B92"/>
    <w:rsid w:val="00363CC3"/>
    <w:rsid w:val="00364C79"/>
    <w:rsid w:val="00366278"/>
    <w:rsid w:val="003670C1"/>
    <w:rsid w:val="00367440"/>
    <w:rsid w:val="00376509"/>
    <w:rsid w:val="00381822"/>
    <w:rsid w:val="003923C5"/>
    <w:rsid w:val="00392BCD"/>
    <w:rsid w:val="00397771"/>
    <w:rsid w:val="003A11FD"/>
    <w:rsid w:val="003A2639"/>
    <w:rsid w:val="003A2960"/>
    <w:rsid w:val="003A2B93"/>
    <w:rsid w:val="003A4AFC"/>
    <w:rsid w:val="003A54A8"/>
    <w:rsid w:val="003B113F"/>
    <w:rsid w:val="003B2656"/>
    <w:rsid w:val="003B36A8"/>
    <w:rsid w:val="003B3945"/>
    <w:rsid w:val="003B4CA3"/>
    <w:rsid w:val="003B57BB"/>
    <w:rsid w:val="003B7FA0"/>
    <w:rsid w:val="003C4A96"/>
    <w:rsid w:val="003C50F5"/>
    <w:rsid w:val="003C5AFE"/>
    <w:rsid w:val="003D0613"/>
    <w:rsid w:val="003D118E"/>
    <w:rsid w:val="003D21C5"/>
    <w:rsid w:val="003D77D3"/>
    <w:rsid w:val="003E27EC"/>
    <w:rsid w:val="003E53DA"/>
    <w:rsid w:val="003E626F"/>
    <w:rsid w:val="003F01E4"/>
    <w:rsid w:val="003F4062"/>
    <w:rsid w:val="00400454"/>
    <w:rsid w:val="00402EB7"/>
    <w:rsid w:val="00404238"/>
    <w:rsid w:val="004046E6"/>
    <w:rsid w:val="00411136"/>
    <w:rsid w:val="0041369F"/>
    <w:rsid w:val="004141CC"/>
    <w:rsid w:val="00415A03"/>
    <w:rsid w:val="00415BFB"/>
    <w:rsid w:val="00416A95"/>
    <w:rsid w:val="0042558F"/>
    <w:rsid w:val="0042708B"/>
    <w:rsid w:val="004335DE"/>
    <w:rsid w:val="00433C0A"/>
    <w:rsid w:val="0043760B"/>
    <w:rsid w:val="0043763B"/>
    <w:rsid w:val="00441192"/>
    <w:rsid w:val="004415A2"/>
    <w:rsid w:val="004424FD"/>
    <w:rsid w:val="004438DD"/>
    <w:rsid w:val="00443BFD"/>
    <w:rsid w:val="00444ABF"/>
    <w:rsid w:val="00445060"/>
    <w:rsid w:val="00447FF4"/>
    <w:rsid w:val="00454572"/>
    <w:rsid w:val="004616CE"/>
    <w:rsid w:val="004645E1"/>
    <w:rsid w:val="0046475D"/>
    <w:rsid w:val="00466FEA"/>
    <w:rsid w:val="004739EE"/>
    <w:rsid w:val="00473F58"/>
    <w:rsid w:val="004746E3"/>
    <w:rsid w:val="00475913"/>
    <w:rsid w:val="00475FEB"/>
    <w:rsid w:val="00480ADE"/>
    <w:rsid w:val="00486E4C"/>
    <w:rsid w:val="00487A43"/>
    <w:rsid w:val="004938D3"/>
    <w:rsid w:val="004961AE"/>
    <w:rsid w:val="004A17B0"/>
    <w:rsid w:val="004A440D"/>
    <w:rsid w:val="004A503A"/>
    <w:rsid w:val="004B0CA0"/>
    <w:rsid w:val="004B1EB0"/>
    <w:rsid w:val="004B2395"/>
    <w:rsid w:val="004B3180"/>
    <w:rsid w:val="004B581C"/>
    <w:rsid w:val="004B75A0"/>
    <w:rsid w:val="004B7CA1"/>
    <w:rsid w:val="004C070B"/>
    <w:rsid w:val="004C60E0"/>
    <w:rsid w:val="004C79B9"/>
    <w:rsid w:val="004D29A1"/>
    <w:rsid w:val="004D5584"/>
    <w:rsid w:val="004D7524"/>
    <w:rsid w:val="004E0562"/>
    <w:rsid w:val="004E163E"/>
    <w:rsid w:val="004E366C"/>
    <w:rsid w:val="004E68B0"/>
    <w:rsid w:val="004E6FA9"/>
    <w:rsid w:val="004E73F1"/>
    <w:rsid w:val="004E7C1E"/>
    <w:rsid w:val="004F2ECF"/>
    <w:rsid w:val="004F3F98"/>
    <w:rsid w:val="004F5A44"/>
    <w:rsid w:val="004F7690"/>
    <w:rsid w:val="004F78ED"/>
    <w:rsid w:val="00504D0B"/>
    <w:rsid w:val="00505C65"/>
    <w:rsid w:val="00505E80"/>
    <w:rsid w:val="0050743D"/>
    <w:rsid w:val="005107AD"/>
    <w:rsid w:val="00513284"/>
    <w:rsid w:val="00513A4D"/>
    <w:rsid w:val="00514727"/>
    <w:rsid w:val="0051655B"/>
    <w:rsid w:val="005211BB"/>
    <w:rsid w:val="00522C9C"/>
    <w:rsid w:val="00523129"/>
    <w:rsid w:val="005301DC"/>
    <w:rsid w:val="00532956"/>
    <w:rsid w:val="00533D03"/>
    <w:rsid w:val="00535646"/>
    <w:rsid w:val="00536FE9"/>
    <w:rsid w:val="00542879"/>
    <w:rsid w:val="00544083"/>
    <w:rsid w:val="0055040B"/>
    <w:rsid w:val="00554905"/>
    <w:rsid w:val="00555CD4"/>
    <w:rsid w:val="00557BFD"/>
    <w:rsid w:val="00573500"/>
    <w:rsid w:val="00575497"/>
    <w:rsid w:val="005762E8"/>
    <w:rsid w:val="00584ABA"/>
    <w:rsid w:val="005875CB"/>
    <w:rsid w:val="00587AE6"/>
    <w:rsid w:val="00591580"/>
    <w:rsid w:val="00591AD9"/>
    <w:rsid w:val="00592767"/>
    <w:rsid w:val="00593519"/>
    <w:rsid w:val="00593750"/>
    <w:rsid w:val="005937BF"/>
    <w:rsid w:val="0059425F"/>
    <w:rsid w:val="005A08D4"/>
    <w:rsid w:val="005A18A6"/>
    <w:rsid w:val="005A32F3"/>
    <w:rsid w:val="005A60AC"/>
    <w:rsid w:val="005A6E02"/>
    <w:rsid w:val="005A7DF2"/>
    <w:rsid w:val="005B36E5"/>
    <w:rsid w:val="005B3C58"/>
    <w:rsid w:val="005B4C14"/>
    <w:rsid w:val="005B778D"/>
    <w:rsid w:val="005C03FD"/>
    <w:rsid w:val="005C1DEB"/>
    <w:rsid w:val="005C259B"/>
    <w:rsid w:val="005C2C48"/>
    <w:rsid w:val="005C564C"/>
    <w:rsid w:val="005C5705"/>
    <w:rsid w:val="005C60E4"/>
    <w:rsid w:val="005C7E73"/>
    <w:rsid w:val="005D1F6F"/>
    <w:rsid w:val="005D2D45"/>
    <w:rsid w:val="005D4A55"/>
    <w:rsid w:val="005D5117"/>
    <w:rsid w:val="005D7A4E"/>
    <w:rsid w:val="005E07A8"/>
    <w:rsid w:val="005E674A"/>
    <w:rsid w:val="005E7A52"/>
    <w:rsid w:val="005F1CB6"/>
    <w:rsid w:val="005F1D1C"/>
    <w:rsid w:val="005F20A2"/>
    <w:rsid w:val="005F501A"/>
    <w:rsid w:val="005F5BC4"/>
    <w:rsid w:val="005F5FAE"/>
    <w:rsid w:val="005F70C8"/>
    <w:rsid w:val="005F7B5A"/>
    <w:rsid w:val="0060115E"/>
    <w:rsid w:val="00601526"/>
    <w:rsid w:val="00601DC4"/>
    <w:rsid w:val="00604382"/>
    <w:rsid w:val="006049EC"/>
    <w:rsid w:val="00604E27"/>
    <w:rsid w:val="0060567C"/>
    <w:rsid w:val="00606969"/>
    <w:rsid w:val="00607994"/>
    <w:rsid w:val="00611FB3"/>
    <w:rsid w:val="00612649"/>
    <w:rsid w:val="00617717"/>
    <w:rsid w:val="00621FD3"/>
    <w:rsid w:val="006224B7"/>
    <w:rsid w:val="00622643"/>
    <w:rsid w:val="00622AA3"/>
    <w:rsid w:val="00624AF8"/>
    <w:rsid w:val="00627EB8"/>
    <w:rsid w:val="00630AE3"/>
    <w:rsid w:val="00631C35"/>
    <w:rsid w:val="00632624"/>
    <w:rsid w:val="006328EC"/>
    <w:rsid w:val="00632952"/>
    <w:rsid w:val="00634F92"/>
    <w:rsid w:val="00635F3D"/>
    <w:rsid w:val="006373CE"/>
    <w:rsid w:val="00641133"/>
    <w:rsid w:val="00641216"/>
    <w:rsid w:val="006463F7"/>
    <w:rsid w:val="00650837"/>
    <w:rsid w:val="00651E76"/>
    <w:rsid w:val="00651EE1"/>
    <w:rsid w:val="00653AB3"/>
    <w:rsid w:val="0065432F"/>
    <w:rsid w:val="00660BED"/>
    <w:rsid w:val="00660F74"/>
    <w:rsid w:val="00662A71"/>
    <w:rsid w:val="00664FEC"/>
    <w:rsid w:val="006678E7"/>
    <w:rsid w:val="00667D92"/>
    <w:rsid w:val="00667DC6"/>
    <w:rsid w:val="00671103"/>
    <w:rsid w:val="00671506"/>
    <w:rsid w:val="00674ADE"/>
    <w:rsid w:val="00681141"/>
    <w:rsid w:val="00681DCE"/>
    <w:rsid w:val="006832E6"/>
    <w:rsid w:val="006837A3"/>
    <w:rsid w:val="00687841"/>
    <w:rsid w:val="0069443B"/>
    <w:rsid w:val="00694E36"/>
    <w:rsid w:val="00695E8B"/>
    <w:rsid w:val="006A12C8"/>
    <w:rsid w:val="006A3175"/>
    <w:rsid w:val="006A3A9E"/>
    <w:rsid w:val="006A75CD"/>
    <w:rsid w:val="006B08A6"/>
    <w:rsid w:val="006B17E1"/>
    <w:rsid w:val="006B7FA2"/>
    <w:rsid w:val="006C10B6"/>
    <w:rsid w:val="006C1A7D"/>
    <w:rsid w:val="006C2AFC"/>
    <w:rsid w:val="006C3A59"/>
    <w:rsid w:val="006C6EED"/>
    <w:rsid w:val="006C7424"/>
    <w:rsid w:val="006C7CAF"/>
    <w:rsid w:val="006D2E35"/>
    <w:rsid w:val="006D34A4"/>
    <w:rsid w:val="006D3B39"/>
    <w:rsid w:val="006D5891"/>
    <w:rsid w:val="006D5D63"/>
    <w:rsid w:val="006D7F21"/>
    <w:rsid w:val="006E0CC8"/>
    <w:rsid w:val="006E274B"/>
    <w:rsid w:val="006E4169"/>
    <w:rsid w:val="006E6CC9"/>
    <w:rsid w:val="006E6D02"/>
    <w:rsid w:val="006E73C0"/>
    <w:rsid w:val="006F41EE"/>
    <w:rsid w:val="006F709B"/>
    <w:rsid w:val="006F72B1"/>
    <w:rsid w:val="007008E1"/>
    <w:rsid w:val="00701993"/>
    <w:rsid w:val="00702CA0"/>
    <w:rsid w:val="00703F8A"/>
    <w:rsid w:val="00706B9E"/>
    <w:rsid w:val="00710CAA"/>
    <w:rsid w:val="00711B37"/>
    <w:rsid w:val="0071355F"/>
    <w:rsid w:val="007141B3"/>
    <w:rsid w:val="007168E6"/>
    <w:rsid w:val="00720A02"/>
    <w:rsid w:val="00722F80"/>
    <w:rsid w:val="00723B2A"/>
    <w:rsid w:val="0072439D"/>
    <w:rsid w:val="0072463E"/>
    <w:rsid w:val="00727F98"/>
    <w:rsid w:val="00727FB9"/>
    <w:rsid w:val="00736308"/>
    <w:rsid w:val="007364B2"/>
    <w:rsid w:val="00742CE3"/>
    <w:rsid w:val="00743D85"/>
    <w:rsid w:val="00745D30"/>
    <w:rsid w:val="0075054F"/>
    <w:rsid w:val="00751250"/>
    <w:rsid w:val="0075129C"/>
    <w:rsid w:val="00751390"/>
    <w:rsid w:val="00751D67"/>
    <w:rsid w:val="00753C65"/>
    <w:rsid w:val="00753E5E"/>
    <w:rsid w:val="0075471D"/>
    <w:rsid w:val="007609B8"/>
    <w:rsid w:val="0076527F"/>
    <w:rsid w:val="0076687D"/>
    <w:rsid w:val="007716E8"/>
    <w:rsid w:val="00771AB5"/>
    <w:rsid w:val="00771B54"/>
    <w:rsid w:val="00775E04"/>
    <w:rsid w:val="00777E0D"/>
    <w:rsid w:val="00777F37"/>
    <w:rsid w:val="00780AF8"/>
    <w:rsid w:val="0078145E"/>
    <w:rsid w:val="00783179"/>
    <w:rsid w:val="00783234"/>
    <w:rsid w:val="00785D81"/>
    <w:rsid w:val="007861E0"/>
    <w:rsid w:val="007907A8"/>
    <w:rsid w:val="007934E9"/>
    <w:rsid w:val="00794B3E"/>
    <w:rsid w:val="00797469"/>
    <w:rsid w:val="007974D0"/>
    <w:rsid w:val="007979BD"/>
    <w:rsid w:val="00797B8B"/>
    <w:rsid w:val="007A1D5D"/>
    <w:rsid w:val="007A2A9C"/>
    <w:rsid w:val="007A3E39"/>
    <w:rsid w:val="007A476B"/>
    <w:rsid w:val="007A4B00"/>
    <w:rsid w:val="007A6F49"/>
    <w:rsid w:val="007A73A3"/>
    <w:rsid w:val="007A7D08"/>
    <w:rsid w:val="007A7DF6"/>
    <w:rsid w:val="007B0067"/>
    <w:rsid w:val="007B04FE"/>
    <w:rsid w:val="007C100A"/>
    <w:rsid w:val="007C3ECC"/>
    <w:rsid w:val="007C7956"/>
    <w:rsid w:val="007D0EA2"/>
    <w:rsid w:val="007D159D"/>
    <w:rsid w:val="007D3AB7"/>
    <w:rsid w:val="007E0E68"/>
    <w:rsid w:val="007E1FDA"/>
    <w:rsid w:val="007E2B8E"/>
    <w:rsid w:val="007E5A37"/>
    <w:rsid w:val="007E6542"/>
    <w:rsid w:val="007F07E8"/>
    <w:rsid w:val="007F1716"/>
    <w:rsid w:val="007F2724"/>
    <w:rsid w:val="007F28E8"/>
    <w:rsid w:val="007F383F"/>
    <w:rsid w:val="007F5709"/>
    <w:rsid w:val="007F5BFA"/>
    <w:rsid w:val="00806994"/>
    <w:rsid w:val="0080713C"/>
    <w:rsid w:val="008106B7"/>
    <w:rsid w:val="00810795"/>
    <w:rsid w:val="00810F0E"/>
    <w:rsid w:val="00822261"/>
    <w:rsid w:val="00825055"/>
    <w:rsid w:val="0083360F"/>
    <w:rsid w:val="00837CE7"/>
    <w:rsid w:val="00841E1C"/>
    <w:rsid w:val="00843055"/>
    <w:rsid w:val="008430C9"/>
    <w:rsid w:val="0084591A"/>
    <w:rsid w:val="0084596C"/>
    <w:rsid w:val="00845B49"/>
    <w:rsid w:val="00851D79"/>
    <w:rsid w:val="00852B52"/>
    <w:rsid w:val="00854CF9"/>
    <w:rsid w:val="0085697C"/>
    <w:rsid w:val="00861DB5"/>
    <w:rsid w:val="0086392A"/>
    <w:rsid w:val="008678E5"/>
    <w:rsid w:val="0087071A"/>
    <w:rsid w:val="00870920"/>
    <w:rsid w:val="00870986"/>
    <w:rsid w:val="0087197E"/>
    <w:rsid w:val="00871F05"/>
    <w:rsid w:val="0087209D"/>
    <w:rsid w:val="008721D2"/>
    <w:rsid w:val="008759BE"/>
    <w:rsid w:val="0088031A"/>
    <w:rsid w:val="00880E6C"/>
    <w:rsid w:val="008817B2"/>
    <w:rsid w:val="008826E9"/>
    <w:rsid w:val="00882E53"/>
    <w:rsid w:val="008844B3"/>
    <w:rsid w:val="00884929"/>
    <w:rsid w:val="00884C2C"/>
    <w:rsid w:val="00886411"/>
    <w:rsid w:val="0088694A"/>
    <w:rsid w:val="00891487"/>
    <w:rsid w:val="00891E3A"/>
    <w:rsid w:val="0089283D"/>
    <w:rsid w:val="008A16D0"/>
    <w:rsid w:val="008A2789"/>
    <w:rsid w:val="008A3B0D"/>
    <w:rsid w:val="008A6A91"/>
    <w:rsid w:val="008A7CF6"/>
    <w:rsid w:val="008B0F30"/>
    <w:rsid w:val="008B29A9"/>
    <w:rsid w:val="008B3EAB"/>
    <w:rsid w:val="008B4D9C"/>
    <w:rsid w:val="008B5379"/>
    <w:rsid w:val="008B60EA"/>
    <w:rsid w:val="008B6D66"/>
    <w:rsid w:val="008B6D98"/>
    <w:rsid w:val="008B6FB5"/>
    <w:rsid w:val="008B7560"/>
    <w:rsid w:val="008C2128"/>
    <w:rsid w:val="008C470A"/>
    <w:rsid w:val="008D010E"/>
    <w:rsid w:val="008D3983"/>
    <w:rsid w:val="008D4EFE"/>
    <w:rsid w:val="008D6E4A"/>
    <w:rsid w:val="008E16AC"/>
    <w:rsid w:val="008E19AE"/>
    <w:rsid w:val="008E1C42"/>
    <w:rsid w:val="008E468B"/>
    <w:rsid w:val="008E74D4"/>
    <w:rsid w:val="008E7B5D"/>
    <w:rsid w:val="008F04EC"/>
    <w:rsid w:val="008F4106"/>
    <w:rsid w:val="008F5F3B"/>
    <w:rsid w:val="008F616B"/>
    <w:rsid w:val="008F71B1"/>
    <w:rsid w:val="00902B3B"/>
    <w:rsid w:val="00903B9C"/>
    <w:rsid w:val="00903D98"/>
    <w:rsid w:val="00907282"/>
    <w:rsid w:val="009078F8"/>
    <w:rsid w:val="009115E3"/>
    <w:rsid w:val="00914D90"/>
    <w:rsid w:val="00914FF4"/>
    <w:rsid w:val="009155AC"/>
    <w:rsid w:val="00923A1A"/>
    <w:rsid w:val="00924519"/>
    <w:rsid w:val="00924F1A"/>
    <w:rsid w:val="00925CB4"/>
    <w:rsid w:val="009274C2"/>
    <w:rsid w:val="009308B0"/>
    <w:rsid w:val="009409D6"/>
    <w:rsid w:val="00940A4D"/>
    <w:rsid w:val="00941792"/>
    <w:rsid w:val="009418A2"/>
    <w:rsid w:val="00943394"/>
    <w:rsid w:val="009436F4"/>
    <w:rsid w:val="00943C88"/>
    <w:rsid w:val="00944EB8"/>
    <w:rsid w:val="00944F69"/>
    <w:rsid w:val="00945B76"/>
    <w:rsid w:val="00947BEB"/>
    <w:rsid w:val="00950DFC"/>
    <w:rsid w:val="00951F05"/>
    <w:rsid w:val="00960588"/>
    <w:rsid w:val="00960C7D"/>
    <w:rsid w:val="009625BD"/>
    <w:rsid w:val="00963FEA"/>
    <w:rsid w:val="009652B8"/>
    <w:rsid w:val="009675EC"/>
    <w:rsid w:val="00970D90"/>
    <w:rsid w:val="009722BC"/>
    <w:rsid w:val="00972F46"/>
    <w:rsid w:val="00976449"/>
    <w:rsid w:val="0098047C"/>
    <w:rsid w:val="00981F8C"/>
    <w:rsid w:val="00984F2B"/>
    <w:rsid w:val="00986C68"/>
    <w:rsid w:val="009904B5"/>
    <w:rsid w:val="009934BD"/>
    <w:rsid w:val="0099414D"/>
    <w:rsid w:val="0099477A"/>
    <w:rsid w:val="0099675D"/>
    <w:rsid w:val="00996B00"/>
    <w:rsid w:val="009A41AF"/>
    <w:rsid w:val="009A63AF"/>
    <w:rsid w:val="009B050E"/>
    <w:rsid w:val="009B106D"/>
    <w:rsid w:val="009B14D8"/>
    <w:rsid w:val="009B4103"/>
    <w:rsid w:val="009B5F46"/>
    <w:rsid w:val="009B6A8B"/>
    <w:rsid w:val="009C020F"/>
    <w:rsid w:val="009D23F5"/>
    <w:rsid w:val="009D27B4"/>
    <w:rsid w:val="009D3420"/>
    <w:rsid w:val="009D3C6F"/>
    <w:rsid w:val="009D7F02"/>
    <w:rsid w:val="009E12C6"/>
    <w:rsid w:val="009E421C"/>
    <w:rsid w:val="009E44A7"/>
    <w:rsid w:val="009E592B"/>
    <w:rsid w:val="009E733F"/>
    <w:rsid w:val="009F4DD1"/>
    <w:rsid w:val="009F68B9"/>
    <w:rsid w:val="009F7BD0"/>
    <w:rsid w:val="009F7BE4"/>
    <w:rsid w:val="00A00B8E"/>
    <w:rsid w:val="00A0169B"/>
    <w:rsid w:val="00A061B2"/>
    <w:rsid w:val="00A0648D"/>
    <w:rsid w:val="00A06978"/>
    <w:rsid w:val="00A06D3E"/>
    <w:rsid w:val="00A06FC2"/>
    <w:rsid w:val="00A1097B"/>
    <w:rsid w:val="00A1146E"/>
    <w:rsid w:val="00A11A88"/>
    <w:rsid w:val="00A1299E"/>
    <w:rsid w:val="00A14AE5"/>
    <w:rsid w:val="00A1535B"/>
    <w:rsid w:val="00A16C5D"/>
    <w:rsid w:val="00A17267"/>
    <w:rsid w:val="00A17716"/>
    <w:rsid w:val="00A22DAA"/>
    <w:rsid w:val="00A23887"/>
    <w:rsid w:val="00A24462"/>
    <w:rsid w:val="00A24641"/>
    <w:rsid w:val="00A2488B"/>
    <w:rsid w:val="00A25871"/>
    <w:rsid w:val="00A26D59"/>
    <w:rsid w:val="00A33ACC"/>
    <w:rsid w:val="00A341B1"/>
    <w:rsid w:val="00A36DA2"/>
    <w:rsid w:val="00A416E4"/>
    <w:rsid w:val="00A42DD6"/>
    <w:rsid w:val="00A443F9"/>
    <w:rsid w:val="00A4461C"/>
    <w:rsid w:val="00A46016"/>
    <w:rsid w:val="00A462FE"/>
    <w:rsid w:val="00A50367"/>
    <w:rsid w:val="00A511FA"/>
    <w:rsid w:val="00A532A1"/>
    <w:rsid w:val="00A5487E"/>
    <w:rsid w:val="00A558CE"/>
    <w:rsid w:val="00A55944"/>
    <w:rsid w:val="00A60460"/>
    <w:rsid w:val="00A60B23"/>
    <w:rsid w:val="00A614E6"/>
    <w:rsid w:val="00A61A36"/>
    <w:rsid w:val="00A64F9E"/>
    <w:rsid w:val="00A656AD"/>
    <w:rsid w:val="00A66887"/>
    <w:rsid w:val="00A66970"/>
    <w:rsid w:val="00A74D1D"/>
    <w:rsid w:val="00A820FB"/>
    <w:rsid w:val="00A82161"/>
    <w:rsid w:val="00A824E2"/>
    <w:rsid w:val="00A82570"/>
    <w:rsid w:val="00A82A30"/>
    <w:rsid w:val="00A82CB9"/>
    <w:rsid w:val="00A862F8"/>
    <w:rsid w:val="00A86782"/>
    <w:rsid w:val="00A8710D"/>
    <w:rsid w:val="00A90923"/>
    <w:rsid w:val="00A90A87"/>
    <w:rsid w:val="00AA02BE"/>
    <w:rsid w:val="00AA5442"/>
    <w:rsid w:val="00AA6926"/>
    <w:rsid w:val="00AB13C1"/>
    <w:rsid w:val="00AC32EE"/>
    <w:rsid w:val="00AC330D"/>
    <w:rsid w:val="00AC3906"/>
    <w:rsid w:val="00AC45CE"/>
    <w:rsid w:val="00AC679F"/>
    <w:rsid w:val="00AE1C26"/>
    <w:rsid w:val="00AE364D"/>
    <w:rsid w:val="00AE3838"/>
    <w:rsid w:val="00AE4761"/>
    <w:rsid w:val="00AE7AA6"/>
    <w:rsid w:val="00AF51C7"/>
    <w:rsid w:val="00AF7357"/>
    <w:rsid w:val="00B00326"/>
    <w:rsid w:val="00B02A65"/>
    <w:rsid w:val="00B02DBF"/>
    <w:rsid w:val="00B07049"/>
    <w:rsid w:val="00B10DAA"/>
    <w:rsid w:val="00B12142"/>
    <w:rsid w:val="00B15C5F"/>
    <w:rsid w:val="00B16E14"/>
    <w:rsid w:val="00B213D4"/>
    <w:rsid w:val="00B270F1"/>
    <w:rsid w:val="00B278F1"/>
    <w:rsid w:val="00B31A29"/>
    <w:rsid w:val="00B32A29"/>
    <w:rsid w:val="00B3386C"/>
    <w:rsid w:val="00B34A06"/>
    <w:rsid w:val="00B3516E"/>
    <w:rsid w:val="00B3667A"/>
    <w:rsid w:val="00B3745C"/>
    <w:rsid w:val="00B40574"/>
    <w:rsid w:val="00B41C54"/>
    <w:rsid w:val="00B4353C"/>
    <w:rsid w:val="00B5180A"/>
    <w:rsid w:val="00B52E8B"/>
    <w:rsid w:val="00B54EA3"/>
    <w:rsid w:val="00B5573D"/>
    <w:rsid w:val="00B55EB7"/>
    <w:rsid w:val="00B5798B"/>
    <w:rsid w:val="00B60CE7"/>
    <w:rsid w:val="00B60D59"/>
    <w:rsid w:val="00B61A9E"/>
    <w:rsid w:val="00B63DE4"/>
    <w:rsid w:val="00B664DA"/>
    <w:rsid w:val="00B67CC7"/>
    <w:rsid w:val="00B67D4A"/>
    <w:rsid w:val="00B67EE9"/>
    <w:rsid w:val="00B70071"/>
    <w:rsid w:val="00B713B9"/>
    <w:rsid w:val="00B71A7B"/>
    <w:rsid w:val="00B81424"/>
    <w:rsid w:val="00B82C3D"/>
    <w:rsid w:val="00B82F07"/>
    <w:rsid w:val="00B873D0"/>
    <w:rsid w:val="00B90258"/>
    <w:rsid w:val="00B936CB"/>
    <w:rsid w:val="00B971DA"/>
    <w:rsid w:val="00B97913"/>
    <w:rsid w:val="00BA25DD"/>
    <w:rsid w:val="00BA6F3D"/>
    <w:rsid w:val="00BB2C36"/>
    <w:rsid w:val="00BB518B"/>
    <w:rsid w:val="00BB766C"/>
    <w:rsid w:val="00BC1357"/>
    <w:rsid w:val="00BC30AF"/>
    <w:rsid w:val="00BC433E"/>
    <w:rsid w:val="00BC58C4"/>
    <w:rsid w:val="00BC5EF6"/>
    <w:rsid w:val="00BC7314"/>
    <w:rsid w:val="00BC7F6F"/>
    <w:rsid w:val="00BD35BF"/>
    <w:rsid w:val="00BE0508"/>
    <w:rsid w:val="00BE0A0B"/>
    <w:rsid w:val="00BE0DFF"/>
    <w:rsid w:val="00BE24C1"/>
    <w:rsid w:val="00BE2F28"/>
    <w:rsid w:val="00BE41B4"/>
    <w:rsid w:val="00BF3BB4"/>
    <w:rsid w:val="00BF45DA"/>
    <w:rsid w:val="00BF4814"/>
    <w:rsid w:val="00C0058C"/>
    <w:rsid w:val="00C00D4A"/>
    <w:rsid w:val="00C0345A"/>
    <w:rsid w:val="00C04084"/>
    <w:rsid w:val="00C04E28"/>
    <w:rsid w:val="00C06788"/>
    <w:rsid w:val="00C11C77"/>
    <w:rsid w:val="00C12DE9"/>
    <w:rsid w:val="00C149B3"/>
    <w:rsid w:val="00C17163"/>
    <w:rsid w:val="00C20D12"/>
    <w:rsid w:val="00C32E93"/>
    <w:rsid w:val="00C427FD"/>
    <w:rsid w:val="00C449DA"/>
    <w:rsid w:val="00C45F36"/>
    <w:rsid w:val="00C54C5D"/>
    <w:rsid w:val="00C56290"/>
    <w:rsid w:val="00C56EE5"/>
    <w:rsid w:val="00C6288C"/>
    <w:rsid w:val="00C62EAD"/>
    <w:rsid w:val="00C65AE0"/>
    <w:rsid w:val="00C70AC5"/>
    <w:rsid w:val="00C70DD2"/>
    <w:rsid w:val="00C71821"/>
    <w:rsid w:val="00C746D0"/>
    <w:rsid w:val="00C76040"/>
    <w:rsid w:val="00C766C6"/>
    <w:rsid w:val="00C76C8E"/>
    <w:rsid w:val="00C7773C"/>
    <w:rsid w:val="00C81631"/>
    <w:rsid w:val="00C903BC"/>
    <w:rsid w:val="00C928C1"/>
    <w:rsid w:val="00C942B1"/>
    <w:rsid w:val="00C9586A"/>
    <w:rsid w:val="00C97599"/>
    <w:rsid w:val="00CA1B9A"/>
    <w:rsid w:val="00CA4D29"/>
    <w:rsid w:val="00CB2CBD"/>
    <w:rsid w:val="00CB3450"/>
    <w:rsid w:val="00CB4A73"/>
    <w:rsid w:val="00CC167E"/>
    <w:rsid w:val="00CC184F"/>
    <w:rsid w:val="00CC3AAF"/>
    <w:rsid w:val="00CC5922"/>
    <w:rsid w:val="00CC6526"/>
    <w:rsid w:val="00CD2A1D"/>
    <w:rsid w:val="00CD6B99"/>
    <w:rsid w:val="00CE6984"/>
    <w:rsid w:val="00CE6C9E"/>
    <w:rsid w:val="00CE793E"/>
    <w:rsid w:val="00CF2427"/>
    <w:rsid w:val="00CF24E1"/>
    <w:rsid w:val="00CF3836"/>
    <w:rsid w:val="00CF50D5"/>
    <w:rsid w:val="00CF6EB3"/>
    <w:rsid w:val="00D01D43"/>
    <w:rsid w:val="00D02333"/>
    <w:rsid w:val="00D02491"/>
    <w:rsid w:val="00D02A8F"/>
    <w:rsid w:val="00D03F0E"/>
    <w:rsid w:val="00D04855"/>
    <w:rsid w:val="00D0578A"/>
    <w:rsid w:val="00D0646B"/>
    <w:rsid w:val="00D067BC"/>
    <w:rsid w:val="00D12C51"/>
    <w:rsid w:val="00D14CFD"/>
    <w:rsid w:val="00D15CD5"/>
    <w:rsid w:val="00D164A8"/>
    <w:rsid w:val="00D20F9D"/>
    <w:rsid w:val="00D21AEB"/>
    <w:rsid w:val="00D22840"/>
    <w:rsid w:val="00D23BAA"/>
    <w:rsid w:val="00D246C6"/>
    <w:rsid w:val="00D265E4"/>
    <w:rsid w:val="00D314B4"/>
    <w:rsid w:val="00D319F4"/>
    <w:rsid w:val="00D3735F"/>
    <w:rsid w:val="00D41559"/>
    <w:rsid w:val="00D43B84"/>
    <w:rsid w:val="00D43BD8"/>
    <w:rsid w:val="00D43FF1"/>
    <w:rsid w:val="00D47977"/>
    <w:rsid w:val="00D52143"/>
    <w:rsid w:val="00D530AB"/>
    <w:rsid w:val="00D53611"/>
    <w:rsid w:val="00D54980"/>
    <w:rsid w:val="00D55839"/>
    <w:rsid w:val="00D55CC5"/>
    <w:rsid w:val="00D56093"/>
    <w:rsid w:val="00D60396"/>
    <w:rsid w:val="00D60CBA"/>
    <w:rsid w:val="00D625AE"/>
    <w:rsid w:val="00D64B35"/>
    <w:rsid w:val="00D65FA8"/>
    <w:rsid w:val="00D6711B"/>
    <w:rsid w:val="00D6747D"/>
    <w:rsid w:val="00D67DA2"/>
    <w:rsid w:val="00D77319"/>
    <w:rsid w:val="00D77520"/>
    <w:rsid w:val="00D775D4"/>
    <w:rsid w:val="00D777FE"/>
    <w:rsid w:val="00D83163"/>
    <w:rsid w:val="00D83A98"/>
    <w:rsid w:val="00D83C59"/>
    <w:rsid w:val="00D84CF1"/>
    <w:rsid w:val="00D871EC"/>
    <w:rsid w:val="00D92306"/>
    <w:rsid w:val="00D9307F"/>
    <w:rsid w:val="00D9321C"/>
    <w:rsid w:val="00D9381C"/>
    <w:rsid w:val="00D94C2B"/>
    <w:rsid w:val="00D94D14"/>
    <w:rsid w:val="00DA124E"/>
    <w:rsid w:val="00DA3EEA"/>
    <w:rsid w:val="00DA4155"/>
    <w:rsid w:val="00DA4B0F"/>
    <w:rsid w:val="00DA4F19"/>
    <w:rsid w:val="00DB122F"/>
    <w:rsid w:val="00DB434A"/>
    <w:rsid w:val="00DB5CA5"/>
    <w:rsid w:val="00DC1FB6"/>
    <w:rsid w:val="00DC3356"/>
    <w:rsid w:val="00DC66AD"/>
    <w:rsid w:val="00DD16CB"/>
    <w:rsid w:val="00DD2D78"/>
    <w:rsid w:val="00DD4224"/>
    <w:rsid w:val="00DD5F47"/>
    <w:rsid w:val="00DE110D"/>
    <w:rsid w:val="00DE35C5"/>
    <w:rsid w:val="00DE69B5"/>
    <w:rsid w:val="00DE7A0D"/>
    <w:rsid w:val="00DF2590"/>
    <w:rsid w:val="00DF38CE"/>
    <w:rsid w:val="00DF3960"/>
    <w:rsid w:val="00DF504D"/>
    <w:rsid w:val="00DF6D02"/>
    <w:rsid w:val="00DF7833"/>
    <w:rsid w:val="00E008DB"/>
    <w:rsid w:val="00E10036"/>
    <w:rsid w:val="00E1255A"/>
    <w:rsid w:val="00E15B8C"/>
    <w:rsid w:val="00E1766F"/>
    <w:rsid w:val="00E2077C"/>
    <w:rsid w:val="00E21DCD"/>
    <w:rsid w:val="00E24674"/>
    <w:rsid w:val="00E257AD"/>
    <w:rsid w:val="00E2638F"/>
    <w:rsid w:val="00E26B24"/>
    <w:rsid w:val="00E26ED7"/>
    <w:rsid w:val="00E27D62"/>
    <w:rsid w:val="00E301FA"/>
    <w:rsid w:val="00E30805"/>
    <w:rsid w:val="00E32C7D"/>
    <w:rsid w:val="00E32D19"/>
    <w:rsid w:val="00E367D4"/>
    <w:rsid w:val="00E404C4"/>
    <w:rsid w:val="00E407C4"/>
    <w:rsid w:val="00E456D9"/>
    <w:rsid w:val="00E45E0B"/>
    <w:rsid w:val="00E4734B"/>
    <w:rsid w:val="00E500BC"/>
    <w:rsid w:val="00E508F1"/>
    <w:rsid w:val="00E546F0"/>
    <w:rsid w:val="00E57727"/>
    <w:rsid w:val="00E61E0B"/>
    <w:rsid w:val="00E62337"/>
    <w:rsid w:val="00E62DE9"/>
    <w:rsid w:val="00E649BF"/>
    <w:rsid w:val="00E64CFF"/>
    <w:rsid w:val="00E70D56"/>
    <w:rsid w:val="00E73462"/>
    <w:rsid w:val="00E73DF7"/>
    <w:rsid w:val="00E765FC"/>
    <w:rsid w:val="00E77E08"/>
    <w:rsid w:val="00E805F0"/>
    <w:rsid w:val="00E837F9"/>
    <w:rsid w:val="00E8463C"/>
    <w:rsid w:val="00E927C6"/>
    <w:rsid w:val="00E939C6"/>
    <w:rsid w:val="00E939DB"/>
    <w:rsid w:val="00E9404E"/>
    <w:rsid w:val="00E95F9F"/>
    <w:rsid w:val="00E97540"/>
    <w:rsid w:val="00EA00ED"/>
    <w:rsid w:val="00EA0809"/>
    <w:rsid w:val="00EA08B4"/>
    <w:rsid w:val="00EA133C"/>
    <w:rsid w:val="00EA672F"/>
    <w:rsid w:val="00EB2A23"/>
    <w:rsid w:val="00EB6581"/>
    <w:rsid w:val="00EC4170"/>
    <w:rsid w:val="00EC7629"/>
    <w:rsid w:val="00EC7CEB"/>
    <w:rsid w:val="00ED0DDB"/>
    <w:rsid w:val="00ED28F8"/>
    <w:rsid w:val="00ED4889"/>
    <w:rsid w:val="00ED711F"/>
    <w:rsid w:val="00ED79F7"/>
    <w:rsid w:val="00EE04F5"/>
    <w:rsid w:val="00EE0E52"/>
    <w:rsid w:val="00EE24C3"/>
    <w:rsid w:val="00EE2C1F"/>
    <w:rsid w:val="00EE4BCC"/>
    <w:rsid w:val="00EF3B80"/>
    <w:rsid w:val="00EF5A8E"/>
    <w:rsid w:val="00EF6B5C"/>
    <w:rsid w:val="00F04B23"/>
    <w:rsid w:val="00F04B87"/>
    <w:rsid w:val="00F05851"/>
    <w:rsid w:val="00F13476"/>
    <w:rsid w:val="00F139CB"/>
    <w:rsid w:val="00F17341"/>
    <w:rsid w:val="00F20CA6"/>
    <w:rsid w:val="00F21FF4"/>
    <w:rsid w:val="00F22AFF"/>
    <w:rsid w:val="00F23118"/>
    <w:rsid w:val="00F236E4"/>
    <w:rsid w:val="00F246C7"/>
    <w:rsid w:val="00F2553F"/>
    <w:rsid w:val="00F2566A"/>
    <w:rsid w:val="00F260D1"/>
    <w:rsid w:val="00F26CA8"/>
    <w:rsid w:val="00F3421A"/>
    <w:rsid w:val="00F37ECA"/>
    <w:rsid w:val="00F41285"/>
    <w:rsid w:val="00F41F02"/>
    <w:rsid w:val="00F44072"/>
    <w:rsid w:val="00F44375"/>
    <w:rsid w:val="00F45EA2"/>
    <w:rsid w:val="00F45F1E"/>
    <w:rsid w:val="00F53BA7"/>
    <w:rsid w:val="00F5458D"/>
    <w:rsid w:val="00F55A5E"/>
    <w:rsid w:val="00F611A4"/>
    <w:rsid w:val="00F61290"/>
    <w:rsid w:val="00F62A03"/>
    <w:rsid w:val="00F62E6A"/>
    <w:rsid w:val="00F62E93"/>
    <w:rsid w:val="00F63477"/>
    <w:rsid w:val="00F656A6"/>
    <w:rsid w:val="00F66022"/>
    <w:rsid w:val="00F66BB2"/>
    <w:rsid w:val="00F679A5"/>
    <w:rsid w:val="00F7108C"/>
    <w:rsid w:val="00F71224"/>
    <w:rsid w:val="00F72A92"/>
    <w:rsid w:val="00F72BBB"/>
    <w:rsid w:val="00F73890"/>
    <w:rsid w:val="00F77240"/>
    <w:rsid w:val="00F843A1"/>
    <w:rsid w:val="00F86088"/>
    <w:rsid w:val="00F87B67"/>
    <w:rsid w:val="00F9090B"/>
    <w:rsid w:val="00F90D45"/>
    <w:rsid w:val="00F914AF"/>
    <w:rsid w:val="00F927E5"/>
    <w:rsid w:val="00F948F4"/>
    <w:rsid w:val="00F95241"/>
    <w:rsid w:val="00F97293"/>
    <w:rsid w:val="00F976FF"/>
    <w:rsid w:val="00FA57D3"/>
    <w:rsid w:val="00FA656A"/>
    <w:rsid w:val="00FA67EB"/>
    <w:rsid w:val="00FB0CEB"/>
    <w:rsid w:val="00FB35EE"/>
    <w:rsid w:val="00FB572F"/>
    <w:rsid w:val="00FC0608"/>
    <w:rsid w:val="00FC09A5"/>
    <w:rsid w:val="00FC29C7"/>
    <w:rsid w:val="00FC3D00"/>
    <w:rsid w:val="00FC4DB7"/>
    <w:rsid w:val="00FD1E71"/>
    <w:rsid w:val="00FD2522"/>
    <w:rsid w:val="00FD27E0"/>
    <w:rsid w:val="00FD29AD"/>
    <w:rsid w:val="00FD3926"/>
    <w:rsid w:val="00FD3C19"/>
    <w:rsid w:val="00FD5665"/>
    <w:rsid w:val="00FD5693"/>
    <w:rsid w:val="00FD6FF9"/>
    <w:rsid w:val="00FE0A85"/>
    <w:rsid w:val="00FE25EC"/>
    <w:rsid w:val="00FE521E"/>
    <w:rsid w:val="00FE7B02"/>
    <w:rsid w:val="00FE7CAC"/>
    <w:rsid w:val="00FF1933"/>
    <w:rsid w:val="00FF480E"/>
    <w:rsid w:val="00FF62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1" w:uiPriority="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473F58"/>
    <w:pPr>
      <w:spacing w:before="120"/>
      <w:jc w:val="both"/>
    </w:pPr>
    <w:rPr>
      <w:rFonts w:ascii="Calibri" w:hAnsi="Calibri" w:cs="Calibri"/>
      <w:noProof/>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22"/>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B67CC7"/>
    <w:pPr>
      <w:pageBreakBefore w:val="0"/>
      <w:numPr>
        <w:ilvl w:val="1"/>
        <w:numId w:val="19"/>
      </w:numPr>
      <w:spacing w:before="240" w:after="120"/>
      <w:outlineLvl w:val="1"/>
    </w:pPr>
    <w:rPr>
      <w:sz w:val="28"/>
      <w:szCs w:val="28"/>
    </w:rPr>
  </w:style>
  <w:style w:type="paragraph" w:styleId="Heading3">
    <w:name w:val="heading 3"/>
    <w:aliases w:val="H3 PPV Heading 3"/>
    <w:basedOn w:val="Heading1"/>
    <w:next w:val="Normal"/>
    <w:link w:val="Heading3Char"/>
    <w:qFormat/>
    <w:rsid w:val="00A82161"/>
    <w:pPr>
      <w:pageBreakBefore w:val="0"/>
      <w:numPr>
        <w:ilvl w:val="2"/>
        <w:numId w:val="19"/>
      </w:numPr>
      <w:tabs>
        <w:tab w:val="clear" w:pos="1440"/>
        <w:tab w:val="left" w:pos="851"/>
      </w:tabs>
      <w:spacing w:before="180" w:after="120"/>
      <w:outlineLvl w:val="2"/>
    </w:pPr>
    <w:rPr>
      <w:sz w:val="26"/>
      <w:szCs w:val="26"/>
    </w:rPr>
  </w:style>
  <w:style w:type="paragraph" w:styleId="Heading4">
    <w:name w:val="heading 4"/>
    <w:aliases w:val="H4 PPV Heading 3A (roman),H4 PPV Heading 4"/>
    <w:basedOn w:val="Normal"/>
    <w:next w:val="PPVBody"/>
    <w:link w:val="Heading4Char"/>
    <w:qFormat/>
    <w:rsid w:val="00A82161"/>
    <w:pPr>
      <w:keepNext/>
      <w:numPr>
        <w:ilvl w:val="3"/>
        <w:numId w:val="19"/>
      </w:numPr>
      <w:tabs>
        <w:tab w:val="left" w:pos="851"/>
      </w:tabs>
      <w:spacing w:before="240"/>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A82161"/>
    <w:rPr>
      <w:rFonts w:ascii="Calibri" w:eastAsia="Dotum" w:hAnsi="Calibri" w:cs="Calibri"/>
      <w:b/>
      <w:kern w:val="32"/>
      <w:sz w:val="26"/>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2"/>
      </w:numPr>
      <w:spacing w:before="0"/>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9155AC"/>
    <w:pPr>
      <w:numPr>
        <w:ilvl w:val="1"/>
      </w:numPr>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5D5117"/>
    <w:pPr>
      <w:tabs>
        <w:tab w:val="right" w:leader="dot" w:pos="9072"/>
      </w:tabs>
      <w:ind w:left="567" w:right="658" w:hanging="567"/>
    </w:pPr>
    <w:rPr>
      <w:b/>
    </w:rPr>
  </w:style>
  <w:style w:type="paragraph" w:styleId="TOC2">
    <w:name w:val="toc 2"/>
    <w:basedOn w:val="Normal"/>
    <w:next w:val="Normal"/>
    <w:autoRedefine/>
    <w:uiPriority w:val="39"/>
    <w:rsid w:val="005D5117"/>
    <w:pPr>
      <w:tabs>
        <w:tab w:val="left" w:pos="1276"/>
        <w:tab w:val="right" w:leader="dot" w:pos="9072"/>
      </w:tabs>
      <w:ind w:left="1134" w:right="851" w:hanging="567"/>
      <w:contextualSpacing/>
    </w:pPr>
  </w:style>
  <w:style w:type="paragraph" w:styleId="TOC3">
    <w:name w:val="toc 3"/>
    <w:basedOn w:val="Normal"/>
    <w:next w:val="Normal"/>
    <w:autoRedefine/>
    <w:uiPriority w:val="39"/>
    <w:semiHidden/>
    <w:rsid w:val="00681DCE"/>
    <w:pPr>
      <w:tabs>
        <w:tab w:val="left" w:pos="1701"/>
        <w:tab w:val="right" w:leader="dot" w:pos="9072"/>
      </w:tabs>
      <w:ind w:right="660"/>
    </w:pPr>
    <w:rPr>
      <w:b/>
      <w:color w:val="215868" w:themeColor="accent5" w:themeShade="80"/>
    </w:rPr>
  </w:style>
  <w:style w:type="paragraph" w:styleId="TableofFigures">
    <w:name w:val="table of figures"/>
    <w:basedOn w:val="Normal"/>
    <w:next w:val="Normal"/>
    <w:uiPriority w:val="99"/>
    <w:rsid w:val="005D5117"/>
    <w:pPr>
      <w:tabs>
        <w:tab w:val="left" w:leader="dot" w:pos="1418"/>
        <w:tab w:val="right" w:leader="dot" w:pos="9072"/>
      </w:tabs>
      <w:ind w:left="1134" w:right="1417" w:hanging="1134"/>
    </w:pPr>
  </w:style>
  <w:style w:type="paragraph" w:customStyle="1" w:styleId="PPVAppendixHeading2">
    <w:name w:val="PPV Appendix Heading 2"/>
    <w:basedOn w:val="Heading2"/>
    <w:next w:val="Normal"/>
    <w:rsid w:val="00B60CE7"/>
    <w:pPr>
      <w:numPr>
        <w:ilvl w:val="0"/>
        <w:numId w:val="0"/>
      </w:numPr>
      <w:tabs>
        <w:tab w:val="left" w:pos="851"/>
      </w:tabs>
      <w:spacing w:before="0" w:after="0"/>
      <w:ind w:left="851" w:hanging="851"/>
    </w:pPr>
    <w:rPr>
      <w:sz w:val="40"/>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uiPriority w:val="39"/>
    <w:rsid w:val="00A06D3E"/>
    <w:pPr>
      <w:tabs>
        <w:tab w:val="right" w:leader="dot" w:pos="8354"/>
      </w:tabs>
      <w:spacing w:before="0"/>
      <w:ind w:left="1276" w:hanging="425"/>
    </w:pPr>
    <w:rPr>
      <w:b/>
    </w:rPr>
  </w:style>
  <w:style w:type="paragraph" w:styleId="TOC4">
    <w:name w:val="toc 4"/>
    <w:basedOn w:val="Normal"/>
    <w:next w:val="Normal"/>
    <w:autoRedefine/>
    <w:uiPriority w:val="39"/>
    <w:rsid w:val="00B15C5F"/>
    <w:pPr>
      <w:tabs>
        <w:tab w:val="left" w:pos="851"/>
        <w:tab w:val="right" w:pos="9072"/>
      </w:tabs>
      <w:ind w:left="851" w:hanging="567"/>
    </w:pPr>
    <w:rPr>
      <w:b/>
    </w:rPr>
  </w:style>
  <w:style w:type="paragraph" w:styleId="TOC6">
    <w:name w:val="toc 6"/>
    <w:basedOn w:val="Normal"/>
    <w:next w:val="Normal"/>
    <w:autoRedefine/>
    <w:uiPriority w:val="39"/>
    <w:rsid w:val="00A06D3E"/>
    <w:pPr>
      <w:tabs>
        <w:tab w:val="right" w:leader="dot" w:pos="9060"/>
      </w:tabs>
      <w:spacing w:before="40"/>
      <w:ind w:left="1560" w:hanging="284"/>
    </w:pPr>
    <w:rPr>
      <w:b/>
    </w:rPr>
  </w:style>
  <w:style w:type="paragraph" w:styleId="TOC7">
    <w:name w:val="toc 7"/>
    <w:basedOn w:val="Normal"/>
    <w:next w:val="Normal"/>
    <w:autoRedefine/>
    <w:uiPriority w:val="39"/>
    <w:rsid w:val="00A06D3E"/>
    <w:pPr>
      <w:tabs>
        <w:tab w:val="right" w:leader="dot" w:pos="9060"/>
      </w:tabs>
      <w:spacing w:before="40"/>
      <w:ind w:left="1984" w:hanging="425"/>
    </w:pPr>
    <w:rPr>
      <w:rFonts w:asciiTheme="minorHAnsi" w:hAnsiTheme="minorHAnsi"/>
      <w:b/>
      <w:i/>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E32D19"/>
  </w:style>
  <w:style w:type="paragraph" w:customStyle="1" w:styleId="PPVRecommendation">
    <w:name w:val="PPV Recommendation"/>
    <w:basedOn w:val="Normal"/>
    <w:link w:val="PPVRecommendationChar"/>
    <w:qFormat/>
    <w:rsid w:val="009155AC"/>
    <w:pPr>
      <w:numPr>
        <w:numId w:val="7"/>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473F58"/>
    <w:rPr>
      <w:noProof w:val="0"/>
    </w:rPr>
  </w:style>
  <w:style w:type="character" w:customStyle="1" w:styleId="PPVBodyChar">
    <w:name w:val="PPV Body Char"/>
    <w:basedOn w:val="DefaultParagraphFont"/>
    <w:link w:val="PPVBody"/>
    <w:rsid w:val="00473F58"/>
    <w:rPr>
      <w:rFonts w:ascii="Calibri" w:hAnsi="Calibri" w:cs="Calibri"/>
      <w:sz w:val="24"/>
      <w:szCs w:val="24"/>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qFormat/>
    <w:rsid w:val="00F246C7"/>
    <w:pPr>
      <w:tabs>
        <w:tab w:val="center" w:pos="4513"/>
        <w:tab w:val="right" w:pos="9026"/>
      </w:tabs>
      <w:spacing w:before="0"/>
    </w:pPr>
  </w:style>
  <w:style w:type="character" w:customStyle="1" w:styleId="HeaderChar">
    <w:name w:val="Header Char"/>
    <w:basedOn w:val="DefaultParagraphFont"/>
    <w:link w:val="Header"/>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591AD9"/>
    <w:pPr>
      <w:numPr>
        <w:numId w:val="23"/>
      </w:numPr>
      <w:ind w:left="170" w:hanging="170"/>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7"/>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cs="Calibri"/>
      <w:b/>
      <w:sz w:val="24"/>
      <w:szCs w:val="24"/>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12"/>
      </w:numPr>
    </w:pPr>
  </w:style>
  <w:style w:type="paragraph" w:styleId="Caption">
    <w:name w:val="caption"/>
    <w:aliases w:val="PPV Caption"/>
    <w:basedOn w:val="PPVBody"/>
    <w:next w:val="PPVBody"/>
    <w:qFormat/>
    <w:rsid w:val="00D164A8"/>
    <w:pPr>
      <w:keepNext/>
      <w:spacing w:after="60"/>
      <w:ind w:left="1134" w:hanging="1134"/>
    </w:pPr>
    <w:rPr>
      <w:b/>
      <w:color w:val="215868" w:themeColor="accent5" w:themeShade="80"/>
      <w:sz w:val="20"/>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uiPriority w:val="1"/>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940A4D"/>
    <w:pPr>
      <w:ind w:left="567" w:hanging="567"/>
    </w:pPr>
    <w:rPr>
      <w:sz w:val="18"/>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cs="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unhideWhenUsed/>
    <w:rsid w:val="0098047C"/>
    <w:pPr>
      <w:spacing w:before="0"/>
      <w:ind w:left="567" w:hanging="567"/>
    </w:pPr>
    <w:rPr>
      <w:sz w:val="18"/>
      <w:szCs w:val="20"/>
    </w:rPr>
  </w:style>
  <w:style w:type="character" w:customStyle="1" w:styleId="FootnoteTextChar">
    <w:name w:val="Footnote Text Char"/>
    <w:basedOn w:val="DefaultParagraphFont"/>
    <w:link w:val="FootnoteText"/>
    <w:uiPriority w:val="99"/>
    <w:rsid w:val="0098047C"/>
    <w:rPr>
      <w:rFonts w:ascii="Calibri" w:hAnsi="Calibri" w:cs="Calibri"/>
      <w:sz w:val="18"/>
    </w:rPr>
  </w:style>
  <w:style w:type="paragraph" w:customStyle="1" w:styleId="Default">
    <w:name w:val="Default"/>
    <w:rsid w:val="008A6A91"/>
    <w:pPr>
      <w:autoSpaceDE w:val="0"/>
      <w:autoSpaceDN w:val="0"/>
      <w:adjustRightInd w:val="0"/>
    </w:pPr>
    <w:rPr>
      <w:color w:val="000000"/>
      <w:sz w:val="24"/>
      <w:szCs w:val="24"/>
    </w:rPr>
  </w:style>
  <w:style w:type="character" w:customStyle="1" w:styleId="A12">
    <w:name w:val="A12"/>
    <w:uiPriority w:val="99"/>
    <w:rsid w:val="00E8463C"/>
    <w:rPr>
      <w:rFonts w:cs="DIN"/>
      <w:color w:val="403F41"/>
      <w:sz w:val="20"/>
      <w:szCs w:val="20"/>
    </w:rPr>
  </w:style>
  <w:style w:type="paragraph" w:styleId="EndnoteText">
    <w:name w:val="endnote text"/>
    <w:basedOn w:val="Normal"/>
    <w:link w:val="EndnoteTextChar"/>
    <w:semiHidden/>
    <w:unhideWhenUsed/>
    <w:rsid w:val="005F1CB6"/>
    <w:pPr>
      <w:spacing w:before="0"/>
    </w:pPr>
    <w:rPr>
      <w:sz w:val="20"/>
      <w:szCs w:val="20"/>
    </w:rPr>
  </w:style>
  <w:style w:type="character" w:customStyle="1" w:styleId="EndnoteTextChar">
    <w:name w:val="Endnote Text Char"/>
    <w:basedOn w:val="DefaultParagraphFont"/>
    <w:link w:val="EndnoteText"/>
    <w:semiHidden/>
    <w:rsid w:val="005F1CB6"/>
    <w:rPr>
      <w:rFonts w:ascii="Calibri" w:hAnsi="Calibri" w:cs="Calibri"/>
    </w:rPr>
  </w:style>
  <w:style w:type="character" w:styleId="EndnoteReference">
    <w:name w:val="endnote reference"/>
    <w:basedOn w:val="DefaultParagraphFont"/>
    <w:semiHidden/>
    <w:unhideWhenUsed/>
    <w:rsid w:val="005F1CB6"/>
    <w:rPr>
      <w:vertAlign w:val="superscript"/>
    </w:rPr>
  </w:style>
  <w:style w:type="character" w:customStyle="1" w:styleId="Heading4Char">
    <w:name w:val="Heading 4 Char"/>
    <w:aliases w:val="H4 PPV Heading 3A (roman) Char,H4 PPV Heading 4 Char"/>
    <w:basedOn w:val="DefaultParagraphFont"/>
    <w:link w:val="Heading4"/>
    <w:rsid w:val="00981F8C"/>
    <w:rPr>
      <w:rFonts w:ascii="Calibri" w:hAnsi="Calibri" w:cs="Calibr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microsoft.com/office/2007/relationships/hdphoto" Target="media/hdphoto1.wdp"/><Relationship Id="rId26"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image" Target="media/image6.jpeg"/><Relationship Id="rId34" Type="http://schemas.openxmlformats.org/officeDocument/2006/relationships/footer" Target="footer4.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header" Target="header2.xml"/><Relationship Id="rId33" Type="http://schemas.openxmlformats.org/officeDocument/2006/relationships/image" Target="media/image14.emf"/><Relationship Id="rId2" Type="http://schemas.openxmlformats.org/officeDocument/2006/relationships/customXml" Target="../customXml/item1.xml"/><Relationship Id="rId16" Type="http://schemas.openxmlformats.org/officeDocument/2006/relationships/image" Target="media/image2.jpg"/><Relationship Id="rId20" Type="http://schemas.openxmlformats.org/officeDocument/2006/relationships/image" Target="media/image5.jpg"/><Relationship Id="rId29"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oter" Target="footer2.xml"/><Relationship Id="rId32" Type="http://schemas.openxmlformats.org/officeDocument/2006/relationships/image" Target="media/image13.png"/><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aeec6-0273-40f2-ab3e-beee73212332" ContentTypeId="0x0101002517F445A0F35E449C98AAD631F2B0380F" PreviousValue="false"/>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DOCID356-1577715548-2571</_dlc_DocId>
    <_dlc_DocIdUrl xmlns="a5f32de4-e402-4188-b034-e71ca7d22e54">
      <Url>https://delwpvicgovau.sharepoint.com/sites/ecm_356/_layouts/15/DocIdRedir.aspx?ID=DOCID356-1577715548-2571</Url>
      <Description>DOCID356-1577715548-2571</Description>
    </_dlc_DocIdUrl>
    <TRIM_x0020_Record_x0020_Number xmlns="a5f32de4-e402-4188-b034-e71ca7d22e54" xsi:nil="true"/>
    <ld508a88e6264ce89693af80a72862cb xmlns="9fd47c19-1c4a-4d7d-b342-c10cef269344">
      <Terms xmlns="http://schemas.microsoft.com/office/infopath/2007/PartnerControls"/>
    </ld508a88e6264ce89693af80a72862cb>
    <o2e611f6ba3e4c8f9a895dfb7980639e xmlns="9fd47c19-1c4a-4d7d-b342-c10cef269344">
      <Terms xmlns="http://schemas.microsoft.com/office/infopath/2007/PartnerControls"/>
    </o2e611f6ba3e4c8f9a895dfb7980639e>
    <Reference_x0020_Number xmlns="a5f32de4-e402-4188-b034-e71ca7d22e54" xsi:nil="true"/>
    <Location_x0020_Value xmlns="a5f32de4-e402-4188-b034-e71ca7d22e54" xsi:nil="true"/>
  </documentManagement>
</p:properties>
</file>

<file path=customXml/item6.xml><?xml version="1.0" encoding="utf-8"?>
<ct:contentTypeSchema xmlns:ct="http://schemas.microsoft.com/office/2006/metadata/contentType" xmlns:ma="http://schemas.microsoft.com/office/2006/metadata/properties/metaAttributes" ct:_="" ma:_="" ma:contentTypeName="Memo" ma:contentTypeID="0x0101002517F445A0F35E449C98AAD631F2B0380F007FC7E60D3009EE4295B3FF3D18AF6FCF" ma:contentTypeVersion="6" ma:contentTypeDescription="A note describing something to be remembered or acted upon in the future – AGLS " ma:contentTypeScope="" ma:versionID="627b4f3bf81514f87c67aad84ae3e620">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2a2dc006e093a37a6ad067779bb31ff3"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Location_x0020_Value" minOccurs="0"/>
                <xsd:element ref="ns2:Language"/>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3:ld508a88e6264ce89693af80a72862cb" minOccurs="0"/>
                <xsd:element ref="ns3:k1bd994a94c2413797db3bab8f123f6f" minOccurs="0"/>
                <xsd:element ref="ns3:o2e611f6ba3e4c8f9a895dfb7980639e" minOccurs="0"/>
                <xsd:element ref="ns3:a25c4e3633654d669cbaa09ae6b70789" minOccurs="0"/>
                <xsd:element ref="ns1:TRIM_x0020_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Location_x0020_Value" ma:index="8" nillable="true" ma:displayName="Location Value" ma:internalName="Location_x0020_Value">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TRIM_x0020_Record_x0020_Number" ma:index="37" nillable="true" ma:displayName="TRIM Record Number" ma:description="The information from Record Number field in TRIM EDRMS." ma:internalName="TRIM_x0020_Record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7"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52be32a-4fb3-4be5-9f80-936ecbd5e83f}"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52be32a-4fb3-4be5-9f80-936ecbd5e83f}"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o2e611f6ba3e4c8f9a895dfb7980639e" ma:index="34"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a25c4e3633654d669cbaa09ae6b70789" ma:index="3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1EC40-0C3A-4C13-8E57-13DA8FC43D26}">
  <ds:schemaRefs>
    <ds:schemaRef ds:uri="http://schemas.microsoft.com/sharepoint/v3/contenttype/forms"/>
  </ds:schemaRefs>
</ds:datastoreItem>
</file>

<file path=customXml/itemProps2.xml><?xml version="1.0" encoding="utf-8"?>
<ds:datastoreItem xmlns:ds="http://schemas.openxmlformats.org/officeDocument/2006/customXml" ds:itemID="{78F8AF68-FEAE-4539-BDF9-EE55329FEC0C}">
  <ds:schemaRefs>
    <ds:schemaRef ds:uri="Microsoft.SharePoint.Taxonomy.ContentTypeSync"/>
  </ds:schemaRefs>
</ds:datastoreItem>
</file>

<file path=customXml/itemProps3.xml><?xml version="1.0" encoding="utf-8"?>
<ds:datastoreItem xmlns:ds="http://schemas.openxmlformats.org/officeDocument/2006/customXml" ds:itemID="{658EDD9D-076F-4052-B1F4-D444B76D940D}">
  <ds:schemaRefs>
    <ds:schemaRef ds:uri="http://schemas.microsoft.com/office/2006/metadata/customXsn"/>
  </ds:schemaRefs>
</ds:datastoreItem>
</file>

<file path=customXml/itemProps4.xml><?xml version="1.0" encoding="utf-8"?>
<ds:datastoreItem xmlns:ds="http://schemas.openxmlformats.org/officeDocument/2006/customXml" ds:itemID="{7BFEA030-24BC-4458-B3B6-C5F5A8BC0C52}">
  <ds:schemaRefs>
    <ds:schemaRef ds:uri="http://schemas.microsoft.com/sharepoint/events"/>
  </ds:schemaRefs>
</ds:datastoreItem>
</file>

<file path=customXml/itemProps5.xml><?xml version="1.0" encoding="utf-8"?>
<ds:datastoreItem xmlns:ds="http://schemas.openxmlformats.org/officeDocument/2006/customXml" ds:itemID="{8C7BCFFB-6787-4EF3-8A12-4E59DFB140F1}">
  <ds:schemaRefs>
    <ds:schemaRef ds:uri="http://www.w3.org/XML/1998/namespace"/>
    <ds:schemaRef ds:uri="http://schemas.microsoft.com/sharepoint/v3"/>
    <ds:schemaRef ds:uri="http://schemas.microsoft.com/office/2006/metadata/properties"/>
    <ds:schemaRef ds:uri="http://purl.org/dc/terms/"/>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9fd47c19-1c4a-4d7d-b342-c10cef269344"/>
    <ds:schemaRef ds:uri="a5f32de4-e402-4188-b034-e71ca7d22e54"/>
  </ds:schemaRefs>
</ds:datastoreItem>
</file>

<file path=customXml/itemProps6.xml><?xml version="1.0" encoding="utf-8"?>
<ds:datastoreItem xmlns:ds="http://schemas.openxmlformats.org/officeDocument/2006/customXml" ds:itemID="{C0DB53C7-1592-4DC7-9484-3798F1439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75E84BF-B802-4C82-B8D0-3614A9793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15972</Words>
  <Characters>91044</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Panel Report Template February 2018</vt:lpstr>
    </vt:vector>
  </TitlesOfParts>
  <LinksUpToDate>false</LinksUpToDate>
  <CharactersWithSpaces>106803</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 Template February 2018</dc:title>
  <dc:subject/>
  <dc:creator/>
  <cp:keywords/>
  <dc:description/>
  <cp:lastModifiedBy/>
  <cp:revision>1</cp:revision>
  <dcterms:created xsi:type="dcterms:W3CDTF">2018-07-20T01:25:00Z</dcterms:created>
  <dcterms:modified xsi:type="dcterms:W3CDTF">2018-07-20T04:22:00Z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0x0101002517F445A0F35E449C98AAD631F2B0380F007FC7E60D3009EE4295B3FF3D18AF6FCF</vt:lpwstr>
  </property>
  <property fmtid="{D5CDD505-2E9C-101B-9397-08002B2CF9AE}" pid="3" name="_dlc_DocIdItemGuid">
    <vt:lpwstr>5728f497-1559-4eed-98e5-76ad59a4f019</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4;#All|8270565e-a836-42c0-aa61-1ac7b0ff14aa</vt:lpwstr>
  </property>
  <property fmtid="{D5CDD505-2E9C-101B-9397-08002B2CF9AE}" pid="8" name="Reference Type">
    <vt:lpwstr/>
  </property>
  <property fmtid="{D5CDD505-2E9C-101B-9397-08002B2CF9AE}" pid="9" name="Division">
    <vt:lpwstr>5;#Planning Panels Victoria|f7f930e6-b45f-4a5f-abe4-9daa2ee2cc0f</vt:lpwstr>
  </property>
  <property fmtid="{D5CDD505-2E9C-101B-9397-08002B2CF9AE}" pid="10" name="Location Type">
    <vt:lpwstr/>
  </property>
  <property fmtid="{D5CDD505-2E9C-101B-9397-08002B2CF9AE}" pid="11" name="Dissemination Limiting Marker">
    <vt:lpwstr>2;#FOUO|955eb6fc-b35a-4808-8aa5-31e514fa3f26</vt:lpwstr>
  </property>
  <property fmtid="{D5CDD505-2E9C-101B-9397-08002B2CF9AE}" pid="12" name="Group1">
    <vt:lpwstr>6;#Planning|a27341dd-7be7-4882-a552-a667d667e276</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Order">
    <vt:r8>257100</vt:r8>
  </property>
</Properties>
</file>